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DACB" w14:textId="7D3F3237" w:rsidR="002D73DB" w:rsidRDefault="008379E8">
      <w:pPr>
        <w:tabs>
          <w:tab w:val="left" w:pos="12233"/>
        </w:tabs>
        <w:ind w:left="120"/>
        <w:rPr>
          <w:rFonts w:ascii="Times New Roman"/>
          <w:sz w:val="20"/>
        </w:rPr>
      </w:pPr>
      <w:r>
        <w:rPr>
          <w:rFonts w:ascii="Times New Roman"/>
          <w:noProof/>
          <w:sz w:val="20"/>
        </w:rPr>
        <w:drawing>
          <wp:inline distT="0" distB="0" distL="0" distR="0" wp14:anchorId="733FDB9C" wp14:editId="733FDB9D">
            <wp:extent cx="1303132" cy="764190"/>
            <wp:effectExtent l="0" t="0" r="0" b="0"/>
            <wp:docPr id="1" name="image1.png"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03132" cy="764190"/>
                    </a:xfrm>
                    <a:prstGeom prst="rect">
                      <a:avLst/>
                    </a:prstGeom>
                  </pic:spPr>
                </pic:pic>
              </a:graphicData>
            </a:graphic>
          </wp:inline>
        </w:drawing>
      </w:r>
      <w:r>
        <w:rPr>
          <w:rFonts w:ascii="Times New Roman"/>
          <w:sz w:val="20"/>
        </w:rPr>
        <w:tab/>
      </w:r>
    </w:p>
    <w:p w14:paraId="733FDACC" w14:textId="77777777" w:rsidR="002D73DB" w:rsidRDefault="002D73DB">
      <w:pPr>
        <w:pStyle w:val="BodyText"/>
        <w:rPr>
          <w:rFonts w:ascii="Times New Roman"/>
          <w:sz w:val="20"/>
        </w:rPr>
      </w:pPr>
    </w:p>
    <w:p w14:paraId="733FDACD" w14:textId="77777777" w:rsidR="002D73DB" w:rsidRDefault="002D73DB">
      <w:pPr>
        <w:pStyle w:val="BodyText"/>
        <w:rPr>
          <w:rFonts w:ascii="Times New Roman"/>
          <w:sz w:val="20"/>
        </w:rPr>
      </w:pPr>
    </w:p>
    <w:p w14:paraId="733FDACE" w14:textId="77777777" w:rsidR="002D73DB" w:rsidRDefault="002D73DB">
      <w:pPr>
        <w:pStyle w:val="BodyText"/>
        <w:rPr>
          <w:rFonts w:ascii="Times New Roman"/>
          <w:sz w:val="20"/>
        </w:rPr>
      </w:pPr>
    </w:p>
    <w:p w14:paraId="733FDACF" w14:textId="77777777" w:rsidR="002D73DB" w:rsidRDefault="002D73DB">
      <w:pPr>
        <w:pStyle w:val="BodyText"/>
        <w:rPr>
          <w:rFonts w:ascii="Times New Roman"/>
          <w:sz w:val="20"/>
        </w:rPr>
      </w:pPr>
    </w:p>
    <w:p w14:paraId="733FDAD0" w14:textId="77777777" w:rsidR="002D73DB" w:rsidRDefault="002D73DB">
      <w:pPr>
        <w:pStyle w:val="BodyText"/>
        <w:rPr>
          <w:rFonts w:ascii="Times New Roman"/>
          <w:sz w:val="20"/>
        </w:rPr>
      </w:pPr>
    </w:p>
    <w:p w14:paraId="733FDAD1" w14:textId="77777777" w:rsidR="002D73DB" w:rsidRDefault="008379E8">
      <w:pPr>
        <w:pStyle w:val="Title"/>
      </w:pPr>
      <w:r>
        <w:t>Understanding what constitutes a safeguarding concern and how to support effective outcomes</w:t>
      </w:r>
    </w:p>
    <w:p w14:paraId="733FDAD2" w14:textId="77777777" w:rsidR="002D73DB" w:rsidRDefault="008379E8">
      <w:pPr>
        <w:spacing w:before="241"/>
        <w:ind w:left="120" w:right="766"/>
        <w:rPr>
          <w:sz w:val="48"/>
        </w:rPr>
      </w:pPr>
      <w:r>
        <w:rPr>
          <w:sz w:val="48"/>
        </w:rPr>
        <w:t>Suggested multi-agency framework to support practice, recording and reporting</w:t>
      </w:r>
    </w:p>
    <w:p w14:paraId="733FDAD3" w14:textId="77777777" w:rsidR="002D73DB" w:rsidRDefault="002D73DB">
      <w:pPr>
        <w:pStyle w:val="BodyText"/>
        <w:rPr>
          <w:sz w:val="54"/>
        </w:rPr>
      </w:pPr>
    </w:p>
    <w:p w14:paraId="733FDAD4" w14:textId="77777777" w:rsidR="002D73DB" w:rsidRDefault="002D73DB">
      <w:pPr>
        <w:pStyle w:val="BodyText"/>
        <w:rPr>
          <w:sz w:val="54"/>
        </w:rPr>
      </w:pPr>
    </w:p>
    <w:p w14:paraId="733FDAD5" w14:textId="77777777" w:rsidR="002D73DB" w:rsidRDefault="002D73DB">
      <w:pPr>
        <w:pStyle w:val="BodyText"/>
        <w:rPr>
          <w:sz w:val="54"/>
        </w:rPr>
      </w:pPr>
    </w:p>
    <w:p w14:paraId="733FDAD6" w14:textId="77777777" w:rsidR="002D73DB" w:rsidRDefault="002D73DB">
      <w:pPr>
        <w:pStyle w:val="BodyText"/>
        <w:spacing w:before="6"/>
        <w:rPr>
          <w:sz w:val="47"/>
        </w:rPr>
      </w:pPr>
    </w:p>
    <w:p w14:paraId="733FDAD7" w14:textId="2326D28D" w:rsidR="002D73DB" w:rsidRDefault="008379E8">
      <w:pPr>
        <w:spacing w:before="1"/>
        <w:ind w:left="120" w:right="1370"/>
        <w:rPr>
          <w:sz w:val="32"/>
        </w:rPr>
      </w:pPr>
      <w:r>
        <w:rPr>
          <w:b/>
          <w:sz w:val="32"/>
        </w:rPr>
        <w:t xml:space="preserve">Quick </w:t>
      </w:r>
      <w:r w:rsidR="00A734AF">
        <w:rPr>
          <w:b/>
          <w:sz w:val="32"/>
        </w:rPr>
        <w:t>G</w:t>
      </w:r>
      <w:r>
        <w:rPr>
          <w:b/>
          <w:sz w:val="32"/>
        </w:rPr>
        <w:t xml:space="preserve">uide </w:t>
      </w:r>
      <w:r w:rsidR="00A734AF">
        <w:rPr>
          <w:b/>
          <w:sz w:val="32"/>
        </w:rPr>
        <w:t xml:space="preserve">2 </w:t>
      </w:r>
      <w:r w:rsidR="00A734AF" w:rsidRPr="00A734AF">
        <w:rPr>
          <w:bCs/>
          <w:sz w:val="32"/>
        </w:rPr>
        <w:t xml:space="preserve">- </w:t>
      </w:r>
      <w:r>
        <w:rPr>
          <w:sz w:val="32"/>
        </w:rPr>
        <w:t xml:space="preserve">based on the LGA/ADASS framework of this title, Published September 2020 See </w:t>
      </w:r>
      <w:hyperlink r:id="rId9">
        <w:r>
          <w:rPr>
            <w:color w:val="0462C1"/>
            <w:sz w:val="32"/>
            <w:u w:val="thick" w:color="0462C1"/>
          </w:rPr>
          <w:t>https://www.local.gov.uk/understanding-what-constitutes-safeguarding-concern-and-how-</w:t>
        </w:r>
      </w:hyperlink>
    </w:p>
    <w:p w14:paraId="733FDAD8" w14:textId="35A2574F" w:rsidR="002D73DB" w:rsidRDefault="006A42CD">
      <w:pPr>
        <w:ind w:left="120"/>
        <w:rPr>
          <w:b/>
          <w:sz w:val="32"/>
        </w:rPr>
      </w:pPr>
      <w:hyperlink r:id="rId10">
        <w:r w:rsidR="008379E8">
          <w:rPr>
            <w:color w:val="0462C1"/>
            <w:sz w:val="32"/>
            <w:u w:val="thick" w:color="0462C1"/>
          </w:rPr>
          <w:t>support-effective-outcomes</w:t>
        </w:r>
        <w:r w:rsidR="008379E8">
          <w:rPr>
            <w:color w:val="0462C1"/>
            <w:sz w:val="32"/>
          </w:rPr>
          <w:t xml:space="preserve"> </w:t>
        </w:r>
      </w:hyperlink>
      <w:r w:rsidR="008379E8">
        <w:rPr>
          <w:b/>
          <w:sz w:val="32"/>
        </w:rPr>
        <w:t xml:space="preserve">Please make direct reference to this alongside this </w:t>
      </w:r>
      <w:r w:rsidR="00A734AF">
        <w:rPr>
          <w:b/>
          <w:sz w:val="32"/>
        </w:rPr>
        <w:t>Q</w:t>
      </w:r>
      <w:r w:rsidR="008379E8">
        <w:rPr>
          <w:b/>
          <w:sz w:val="32"/>
        </w:rPr>
        <w:t xml:space="preserve">uick </w:t>
      </w:r>
      <w:r w:rsidR="00A734AF">
        <w:rPr>
          <w:b/>
          <w:sz w:val="32"/>
        </w:rPr>
        <w:t>G</w:t>
      </w:r>
      <w:r w:rsidR="008379E8">
        <w:rPr>
          <w:b/>
          <w:sz w:val="32"/>
        </w:rPr>
        <w:t>uide.</w:t>
      </w:r>
    </w:p>
    <w:p w14:paraId="733FDAD9" w14:textId="77777777" w:rsidR="002D73DB" w:rsidRDefault="002D73DB">
      <w:pPr>
        <w:rPr>
          <w:sz w:val="32"/>
        </w:rPr>
        <w:sectPr w:rsidR="002D73DB">
          <w:footerReference w:type="default" r:id="rId11"/>
          <w:type w:val="continuous"/>
          <w:pgSz w:w="16840" w:h="11910" w:orient="landscape"/>
          <w:pgMar w:top="600" w:right="740" w:bottom="820" w:left="1320" w:header="720" w:footer="633" w:gutter="0"/>
          <w:pgNumType w:start="1"/>
          <w:cols w:space="720"/>
        </w:sectPr>
      </w:pPr>
    </w:p>
    <w:p w14:paraId="733FDADA" w14:textId="77777777" w:rsidR="002D73DB" w:rsidRDefault="002D73DB">
      <w:pPr>
        <w:pStyle w:val="BodyText"/>
        <w:rPr>
          <w:b/>
          <w:sz w:val="21"/>
        </w:rPr>
      </w:pPr>
    </w:p>
    <w:p w14:paraId="733FDADB" w14:textId="77777777" w:rsidR="002D73DB" w:rsidRDefault="008379E8" w:rsidP="00F76486">
      <w:pPr>
        <w:spacing w:before="93"/>
        <w:jc w:val="both"/>
        <w:rPr>
          <w:b/>
          <w:sz w:val="24"/>
        </w:rPr>
      </w:pPr>
      <w:r>
        <w:rPr>
          <w:b/>
          <w:sz w:val="24"/>
        </w:rPr>
        <w:t>Introduction, background, and purpose</w:t>
      </w:r>
    </w:p>
    <w:p w14:paraId="733FDADC" w14:textId="77777777" w:rsidR="002D73DB" w:rsidRDefault="002D73DB" w:rsidP="00F76486">
      <w:pPr>
        <w:pStyle w:val="BodyText"/>
        <w:rPr>
          <w:b/>
          <w:sz w:val="24"/>
        </w:rPr>
      </w:pPr>
    </w:p>
    <w:p w14:paraId="733FDADD" w14:textId="77777777" w:rsidR="002D73DB" w:rsidRDefault="008379E8" w:rsidP="00F76486">
      <w:pPr>
        <w:ind w:right="1158"/>
        <w:jc w:val="both"/>
        <w:rPr>
          <w:sz w:val="24"/>
        </w:rPr>
      </w:pPr>
      <w:r>
        <w:rPr>
          <w:sz w:val="24"/>
        </w:rPr>
        <w:t xml:space="preserve">The </w:t>
      </w:r>
      <w:hyperlink r:id="rId12">
        <w:r>
          <w:rPr>
            <w:color w:val="0462C1"/>
            <w:sz w:val="24"/>
            <w:u w:val="single" w:color="0462C1"/>
          </w:rPr>
          <w:t>safeguarding concerns multi-agency framework</w:t>
        </w:r>
        <w:r>
          <w:rPr>
            <w:color w:val="0462C1"/>
            <w:sz w:val="24"/>
          </w:rPr>
          <w:t xml:space="preserve"> </w:t>
        </w:r>
      </w:hyperlink>
      <w:r>
        <w:rPr>
          <w:sz w:val="24"/>
        </w:rPr>
        <w:t>proposes a cross sector understanding of what constitutes a safeguarding concern. Its purpose is to support effective multi-agency outcomes that address risks to wellbeing and safety whether through a safeguarding response or another pathway. It promotes collaborative decision making and support, and joint accountability.</w:t>
      </w:r>
    </w:p>
    <w:p w14:paraId="733FDADE" w14:textId="77777777" w:rsidR="002D73DB" w:rsidRDefault="002D73DB" w:rsidP="00F76486">
      <w:pPr>
        <w:pStyle w:val="BodyText"/>
        <w:rPr>
          <w:sz w:val="24"/>
        </w:rPr>
      </w:pPr>
    </w:p>
    <w:p w14:paraId="733FDADF" w14:textId="6326403C" w:rsidR="002D73DB" w:rsidRDefault="008379E8" w:rsidP="00F76486">
      <w:pPr>
        <w:ind w:right="939"/>
        <w:rPr>
          <w:sz w:val="24"/>
        </w:rPr>
      </w:pPr>
      <w:r>
        <w:rPr>
          <w:sz w:val="24"/>
        </w:rPr>
        <w:t>Networks across all sectors were engaged in producing the framework: scoping, attending four national workshops and through a group of critical readers who advised on drafts.</w:t>
      </w:r>
      <w:r w:rsidR="00F76C2B">
        <w:rPr>
          <w:sz w:val="24"/>
        </w:rPr>
        <w:t xml:space="preserve"> </w:t>
      </w:r>
      <w:r>
        <w:rPr>
          <w:sz w:val="24"/>
        </w:rPr>
        <w:t>The views and input of service users are reflected in it.</w:t>
      </w:r>
    </w:p>
    <w:p w14:paraId="733FDAE0" w14:textId="77777777" w:rsidR="002D73DB" w:rsidRDefault="002D73DB" w:rsidP="00F76486">
      <w:pPr>
        <w:pStyle w:val="BodyText"/>
        <w:rPr>
          <w:sz w:val="24"/>
        </w:rPr>
      </w:pPr>
    </w:p>
    <w:p w14:paraId="733FDAE1" w14:textId="77777777" w:rsidR="002D73DB" w:rsidRDefault="008379E8" w:rsidP="00F76486">
      <w:pPr>
        <w:spacing w:before="1"/>
        <w:rPr>
          <w:sz w:val="24"/>
        </w:rPr>
      </w:pPr>
      <w:r>
        <w:rPr>
          <w:sz w:val="24"/>
        </w:rPr>
        <w:t>It aims to support:</w:t>
      </w:r>
    </w:p>
    <w:p w14:paraId="733FDAE2" w14:textId="77777777" w:rsidR="002D73DB" w:rsidRPr="00F76486" w:rsidRDefault="008379E8" w:rsidP="00F76486">
      <w:pPr>
        <w:pStyle w:val="ListParagraph"/>
        <w:numPr>
          <w:ilvl w:val="0"/>
          <w:numId w:val="5"/>
        </w:numPr>
        <w:tabs>
          <w:tab w:val="left" w:pos="840"/>
          <w:tab w:val="left" w:pos="841"/>
        </w:tabs>
        <w:ind w:right="751"/>
        <w:rPr>
          <w:sz w:val="24"/>
        </w:rPr>
      </w:pPr>
      <w:r w:rsidRPr="00F76486">
        <w:rPr>
          <w:sz w:val="24"/>
        </w:rPr>
        <w:t>the</w:t>
      </w:r>
      <w:r w:rsidRPr="00F76486">
        <w:rPr>
          <w:spacing w:val="-2"/>
          <w:sz w:val="24"/>
        </w:rPr>
        <w:t xml:space="preserve"> </w:t>
      </w:r>
      <w:r w:rsidRPr="00F76486">
        <w:rPr>
          <w:sz w:val="24"/>
        </w:rPr>
        <w:t>whole</w:t>
      </w:r>
      <w:r w:rsidRPr="00F76486">
        <w:rPr>
          <w:spacing w:val="-2"/>
          <w:sz w:val="24"/>
        </w:rPr>
        <w:t xml:space="preserve"> </w:t>
      </w:r>
      <w:r w:rsidRPr="00F76486">
        <w:rPr>
          <w:sz w:val="24"/>
        </w:rPr>
        <w:t>range</w:t>
      </w:r>
      <w:r w:rsidRPr="00F76486">
        <w:rPr>
          <w:spacing w:val="-4"/>
          <w:sz w:val="24"/>
        </w:rPr>
        <w:t xml:space="preserve"> </w:t>
      </w:r>
      <w:r w:rsidRPr="00F76486">
        <w:rPr>
          <w:sz w:val="24"/>
        </w:rPr>
        <w:t>of</w:t>
      </w:r>
      <w:r w:rsidRPr="00F76486">
        <w:rPr>
          <w:spacing w:val="-2"/>
          <w:sz w:val="24"/>
        </w:rPr>
        <w:t xml:space="preserve"> </w:t>
      </w:r>
      <w:r w:rsidRPr="00F76486">
        <w:rPr>
          <w:sz w:val="24"/>
        </w:rPr>
        <w:t>sectors</w:t>
      </w:r>
      <w:r w:rsidRPr="00F76486">
        <w:rPr>
          <w:spacing w:val="-2"/>
          <w:sz w:val="24"/>
        </w:rPr>
        <w:t xml:space="preserve"> </w:t>
      </w:r>
      <w:r w:rsidRPr="00F76486">
        <w:rPr>
          <w:sz w:val="24"/>
        </w:rPr>
        <w:t>and</w:t>
      </w:r>
      <w:r w:rsidRPr="00F76486">
        <w:rPr>
          <w:spacing w:val="-2"/>
          <w:sz w:val="24"/>
        </w:rPr>
        <w:t xml:space="preserve"> </w:t>
      </w:r>
      <w:r w:rsidRPr="00F76486">
        <w:rPr>
          <w:sz w:val="24"/>
        </w:rPr>
        <w:t>organisations</w:t>
      </w:r>
      <w:r w:rsidRPr="00F76486">
        <w:rPr>
          <w:spacing w:val="-4"/>
          <w:sz w:val="24"/>
        </w:rPr>
        <w:t xml:space="preserve"> </w:t>
      </w:r>
      <w:r w:rsidRPr="00F76486">
        <w:rPr>
          <w:sz w:val="24"/>
        </w:rPr>
        <w:t>in</w:t>
      </w:r>
      <w:r w:rsidRPr="00F76486">
        <w:rPr>
          <w:spacing w:val="-2"/>
          <w:sz w:val="24"/>
        </w:rPr>
        <w:t xml:space="preserve"> </w:t>
      </w:r>
      <w:r w:rsidRPr="00F76486">
        <w:rPr>
          <w:sz w:val="24"/>
        </w:rPr>
        <w:t>making</w:t>
      </w:r>
      <w:r w:rsidRPr="00F76486">
        <w:rPr>
          <w:spacing w:val="-3"/>
          <w:sz w:val="24"/>
        </w:rPr>
        <w:t xml:space="preserve"> </w:t>
      </w:r>
      <w:r w:rsidRPr="00F76486">
        <w:rPr>
          <w:sz w:val="24"/>
        </w:rPr>
        <w:t>appropriate</w:t>
      </w:r>
      <w:r w:rsidRPr="00F76486">
        <w:rPr>
          <w:spacing w:val="-1"/>
          <w:sz w:val="24"/>
        </w:rPr>
        <w:t xml:space="preserve"> </w:t>
      </w:r>
      <w:r w:rsidRPr="00F76486">
        <w:rPr>
          <w:sz w:val="24"/>
        </w:rPr>
        <w:t>referrals</w:t>
      </w:r>
      <w:r w:rsidRPr="00F76486">
        <w:rPr>
          <w:spacing w:val="-2"/>
          <w:sz w:val="24"/>
        </w:rPr>
        <w:t xml:space="preserve"> </w:t>
      </w:r>
      <w:r w:rsidRPr="00F76486">
        <w:rPr>
          <w:sz w:val="24"/>
        </w:rPr>
        <w:t>of</w:t>
      </w:r>
      <w:r w:rsidRPr="00F76486">
        <w:rPr>
          <w:spacing w:val="-4"/>
          <w:sz w:val="24"/>
        </w:rPr>
        <w:t xml:space="preserve"> </w:t>
      </w:r>
      <w:r w:rsidRPr="00F76486">
        <w:rPr>
          <w:sz w:val="24"/>
        </w:rPr>
        <w:t>concerns</w:t>
      </w:r>
      <w:r w:rsidRPr="00F76486">
        <w:rPr>
          <w:spacing w:val="-2"/>
          <w:sz w:val="24"/>
        </w:rPr>
        <w:t xml:space="preserve"> </w:t>
      </w:r>
      <w:r w:rsidRPr="00F76486">
        <w:rPr>
          <w:sz w:val="24"/>
        </w:rPr>
        <w:t>to</w:t>
      </w:r>
      <w:r w:rsidRPr="00F76486">
        <w:rPr>
          <w:spacing w:val="-4"/>
          <w:sz w:val="24"/>
        </w:rPr>
        <w:t xml:space="preserve"> </w:t>
      </w:r>
      <w:r w:rsidRPr="00F76486">
        <w:rPr>
          <w:sz w:val="24"/>
        </w:rPr>
        <w:t>adult</w:t>
      </w:r>
      <w:r w:rsidRPr="00F76486">
        <w:rPr>
          <w:spacing w:val="-2"/>
          <w:sz w:val="24"/>
        </w:rPr>
        <w:t xml:space="preserve"> </w:t>
      </w:r>
      <w:r w:rsidRPr="00F76486">
        <w:rPr>
          <w:sz w:val="24"/>
        </w:rPr>
        <w:t>social</w:t>
      </w:r>
      <w:r w:rsidRPr="00F76486">
        <w:rPr>
          <w:spacing w:val="-2"/>
          <w:sz w:val="24"/>
        </w:rPr>
        <w:t xml:space="preserve"> </w:t>
      </w:r>
      <w:r w:rsidRPr="00F76486">
        <w:rPr>
          <w:sz w:val="24"/>
        </w:rPr>
        <w:t>care,</w:t>
      </w:r>
      <w:r w:rsidRPr="00F76486">
        <w:rPr>
          <w:spacing w:val="-2"/>
          <w:sz w:val="24"/>
        </w:rPr>
        <w:t xml:space="preserve"> </w:t>
      </w:r>
      <w:r w:rsidRPr="00F76486">
        <w:rPr>
          <w:sz w:val="24"/>
        </w:rPr>
        <w:t>by</w:t>
      </w:r>
      <w:r w:rsidRPr="00F76486">
        <w:rPr>
          <w:spacing w:val="-3"/>
          <w:sz w:val="24"/>
        </w:rPr>
        <w:t xml:space="preserve"> </w:t>
      </w:r>
      <w:r w:rsidRPr="00F76486">
        <w:rPr>
          <w:sz w:val="24"/>
        </w:rPr>
        <w:t>promoting</w:t>
      </w:r>
      <w:r w:rsidRPr="00F76486">
        <w:rPr>
          <w:spacing w:val="-4"/>
          <w:sz w:val="24"/>
        </w:rPr>
        <w:t xml:space="preserve"> </w:t>
      </w:r>
      <w:r w:rsidRPr="00F76486">
        <w:rPr>
          <w:sz w:val="24"/>
        </w:rPr>
        <w:t xml:space="preserve">a consistent and shared understanding of what constitutes a </w:t>
      </w:r>
      <w:proofErr w:type="gramStart"/>
      <w:r w:rsidRPr="00F76486">
        <w:rPr>
          <w:sz w:val="24"/>
        </w:rPr>
        <w:t>safeguarding adults</w:t>
      </w:r>
      <w:proofErr w:type="gramEnd"/>
      <w:r w:rsidRPr="00F76486">
        <w:rPr>
          <w:spacing w:val="-13"/>
          <w:sz w:val="24"/>
        </w:rPr>
        <w:t xml:space="preserve"> </w:t>
      </w:r>
      <w:r w:rsidRPr="00F76486">
        <w:rPr>
          <w:sz w:val="24"/>
        </w:rPr>
        <w:t>concern</w:t>
      </w:r>
    </w:p>
    <w:p w14:paraId="733FDAE3" w14:textId="77777777" w:rsidR="002D73DB" w:rsidRDefault="008379E8" w:rsidP="00F76486">
      <w:pPr>
        <w:pStyle w:val="ListParagraph"/>
        <w:numPr>
          <w:ilvl w:val="0"/>
          <w:numId w:val="5"/>
        </w:numPr>
        <w:tabs>
          <w:tab w:val="left" w:pos="840"/>
          <w:tab w:val="left" w:pos="841"/>
        </w:tabs>
        <w:spacing w:line="290" w:lineRule="exact"/>
        <w:rPr>
          <w:sz w:val="24"/>
        </w:rPr>
      </w:pPr>
      <w:r>
        <w:rPr>
          <w:sz w:val="24"/>
        </w:rPr>
        <w:t>a consistent response by adult social care to safeguarding concerns referred to</w:t>
      </w:r>
      <w:r>
        <w:rPr>
          <w:spacing w:val="-12"/>
          <w:sz w:val="24"/>
        </w:rPr>
        <w:t xml:space="preserve"> </w:t>
      </w:r>
      <w:r>
        <w:rPr>
          <w:sz w:val="24"/>
        </w:rPr>
        <w:t>them</w:t>
      </w:r>
    </w:p>
    <w:p w14:paraId="733FDAE4" w14:textId="77777777" w:rsidR="002D73DB" w:rsidRDefault="008379E8" w:rsidP="00F76486">
      <w:pPr>
        <w:pStyle w:val="ListParagraph"/>
        <w:numPr>
          <w:ilvl w:val="0"/>
          <w:numId w:val="5"/>
        </w:numPr>
        <w:tabs>
          <w:tab w:val="left" w:pos="828"/>
          <w:tab w:val="left" w:pos="829"/>
        </w:tabs>
        <w:ind w:right="1368"/>
        <w:rPr>
          <w:sz w:val="24"/>
        </w:rPr>
      </w:pPr>
      <w:r>
        <w:rPr>
          <w:sz w:val="24"/>
        </w:rPr>
        <w:t>a shared responsibility across all organisations for addressing risks to wellbeing and safety, whether as a safeguarding concern, or outside of safeguarding responses, by jointly agreeing alternative pathways for</w:t>
      </w:r>
      <w:r>
        <w:rPr>
          <w:spacing w:val="-14"/>
          <w:sz w:val="24"/>
        </w:rPr>
        <w:t xml:space="preserve"> </w:t>
      </w:r>
      <w:r>
        <w:rPr>
          <w:sz w:val="24"/>
        </w:rPr>
        <w:t>support.</w:t>
      </w:r>
    </w:p>
    <w:p w14:paraId="721888E9" w14:textId="77777777" w:rsidR="00F76C2B" w:rsidRPr="00F76C2B" w:rsidRDefault="008379E8" w:rsidP="00F76486">
      <w:pPr>
        <w:pStyle w:val="ListParagraph"/>
        <w:numPr>
          <w:ilvl w:val="0"/>
          <w:numId w:val="5"/>
        </w:numPr>
        <w:tabs>
          <w:tab w:val="left" w:pos="828"/>
          <w:tab w:val="left" w:pos="829"/>
        </w:tabs>
        <w:ind w:right="1048"/>
        <w:rPr>
          <w:sz w:val="24"/>
        </w:rPr>
      </w:pPr>
      <w:r>
        <w:rPr>
          <w:sz w:val="24"/>
        </w:rPr>
        <w:t>a shared understanding of what to report as a safeguarding concern in the Safeguarding Adults Collection (SAC)</w:t>
      </w:r>
      <w:r w:rsidRPr="00F76C2B">
        <w:rPr>
          <w:position w:val="8"/>
          <w:sz w:val="16"/>
        </w:rPr>
        <w:t>1</w:t>
      </w:r>
      <w:r w:rsidRPr="00F76C2B">
        <w:rPr>
          <w:sz w:val="16"/>
        </w:rPr>
        <w:t xml:space="preserve"> </w:t>
      </w:r>
    </w:p>
    <w:p w14:paraId="733FDAE5" w14:textId="5E49B1C7" w:rsidR="002D73DB" w:rsidRPr="00F76486" w:rsidRDefault="00F76486" w:rsidP="00F76486">
      <w:pPr>
        <w:pStyle w:val="ListParagraph"/>
        <w:numPr>
          <w:ilvl w:val="0"/>
          <w:numId w:val="5"/>
        </w:numPr>
        <w:tabs>
          <w:tab w:val="left" w:pos="828"/>
          <w:tab w:val="left" w:pos="829"/>
        </w:tabs>
        <w:ind w:right="1048"/>
        <w:rPr>
          <w:sz w:val="24"/>
        </w:rPr>
      </w:pPr>
      <w:r>
        <w:rPr>
          <w:sz w:val="24"/>
        </w:rPr>
        <w:t>c</w:t>
      </w:r>
      <w:r w:rsidR="008379E8" w:rsidRPr="00F76486">
        <w:rPr>
          <w:sz w:val="24"/>
        </w:rPr>
        <w:t>urrent wide variation in practice and decision-making is reflected in the NHS Digital Safeguarding Adults Collection</w:t>
      </w:r>
      <w:r w:rsidR="008379E8" w:rsidRPr="00F76486">
        <w:rPr>
          <w:spacing w:val="-35"/>
          <w:sz w:val="24"/>
        </w:rPr>
        <w:t xml:space="preserve"> </w:t>
      </w:r>
      <w:r w:rsidR="008379E8" w:rsidRPr="00F76486">
        <w:rPr>
          <w:sz w:val="24"/>
        </w:rPr>
        <w:t>data.</w:t>
      </w:r>
    </w:p>
    <w:p w14:paraId="733FDAE6" w14:textId="77777777" w:rsidR="002D73DB" w:rsidRDefault="002D73DB" w:rsidP="00571F5E">
      <w:pPr>
        <w:pStyle w:val="NoSpacing"/>
      </w:pPr>
    </w:p>
    <w:p w14:paraId="733FDAE7" w14:textId="3FAEDB2A" w:rsidR="002D73DB" w:rsidRDefault="008379E8" w:rsidP="00F76486">
      <w:pPr>
        <w:spacing w:before="1"/>
        <w:ind w:right="720"/>
        <w:jc w:val="both"/>
        <w:rPr>
          <w:sz w:val="24"/>
        </w:rPr>
      </w:pPr>
      <w:r>
        <w:rPr>
          <w:sz w:val="24"/>
        </w:rPr>
        <w:t>This framework is not intended as guidance prescribing exactly what must be done.</w:t>
      </w:r>
      <w:r w:rsidR="00F76C2B">
        <w:rPr>
          <w:sz w:val="24"/>
        </w:rPr>
        <w:t xml:space="preserve"> </w:t>
      </w:r>
      <w:r>
        <w:rPr>
          <w:sz w:val="24"/>
        </w:rPr>
        <w:t>Its intention is to empower practitioners across all sectors, supporting consistent, confident decision-making about safeguarding concerns, which are rooted in the legal framework and statutory guidance. That confidence and consistency can in turn support individuals and communities to understand what kinds of concerns need to be discussed and reported. Consistent data recording and reporting flows from these decisions.</w:t>
      </w:r>
    </w:p>
    <w:p w14:paraId="733FDAE8" w14:textId="77777777" w:rsidR="002D73DB" w:rsidRDefault="002D73DB">
      <w:pPr>
        <w:pStyle w:val="BodyText"/>
        <w:rPr>
          <w:sz w:val="24"/>
        </w:rPr>
      </w:pPr>
    </w:p>
    <w:p w14:paraId="733FDAEA" w14:textId="47A0FC0D" w:rsidR="002D73DB" w:rsidRPr="00F76C2B" w:rsidRDefault="008379E8" w:rsidP="00F76C2B">
      <w:pPr>
        <w:pStyle w:val="NoSpacing"/>
        <w:rPr>
          <w:sz w:val="24"/>
          <w:szCs w:val="24"/>
        </w:rPr>
      </w:pPr>
      <w:r w:rsidRPr="00F76C2B">
        <w:rPr>
          <w:sz w:val="24"/>
          <w:szCs w:val="24"/>
        </w:rPr>
        <w:t xml:space="preserve">This framework connects with a </w:t>
      </w:r>
      <w:hyperlink r:id="rId13">
        <w:r w:rsidRPr="00F76C2B">
          <w:rPr>
            <w:color w:val="0462C1"/>
            <w:sz w:val="24"/>
            <w:szCs w:val="24"/>
            <w:u w:val="single" w:color="0462C1"/>
          </w:rPr>
          <w:t>framework</w:t>
        </w:r>
        <w:r w:rsidRPr="00F76C2B">
          <w:rPr>
            <w:color w:val="0462C1"/>
            <w:sz w:val="24"/>
            <w:szCs w:val="24"/>
          </w:rPr>
          <w:t xml:space="preserve"> </w:t>
        </w:r>
      </w:hyperlink>
      <w:r w:rsidRPr="00F76C2B">
        <w:rPr>
          <w:sz w:val="24"/>
          <w:szCs w:val="24"/>
        </w:rPr>
        <w:t xml:space="preserve">(published August 2019 by LGA/ADASS) on </w:t>
      </w:r>
      <w:r w:rsidRPr="00F76C2B">
        <w:rPr>
          <w:i/>
          <w:sz w:val="24"/>
          <w:szCs w:val="24"/>
        </w:rPr>
        <w:t xml:space="preserve">Making decisions on the duty to carry out safeguarding adults enquiries. </w:t>
      </w:r>
      <w:r w:rsidRPr="00F76C2B">
        <w:rPr>
          <w:sz w:val="24"/>
          <w:szCs w:val="24"/>
        </w:rPr>
        <w:t>Together these offer robust support across the entire decision-making pathway.</w:t>
      </w:r>
      <w:r w:rsidR="00F76C2B" w:rsidRPr="00F76C2B">
        <w:rPr>
          <w:sz w:val="24"/>
          <w:szCs w:val="24"/>
        </w:rPr>
        <w:t xml:space="preserve"> </w:t>
      </w:r>
      <w:r w:rsidRPr="00F76C2B">
        <w:rPr>
          <w:sz w:val="24"/>
          <w:szCs w:val="24"/>
        </w:rPr>
        <w:t>Both were prompted by wide variation in practice and decision-making, reflected in the NHS Digital Safeguarding Adults Collection (SAC) data on reporting of concerns and safeguarding enquiries under Section 42, Care Act (2014). They address a potential lack of equal access to adult safeguarding support, dependent on how safeguarding concerns are defined and addressed.</w:t>
      </w:r>
    </w:p>
    <w:p w14:paraId="733FDAEB" w14:textId="43AA0A67" w:rsidR="002D73DB" w:rsidRDefault="00115C34">
      <w:pPr>
        <w:pStyle w:val="BodyText"/>
        <w:rPr>
          <w:sz w:val="21"/>
        </w:rPr>
      </w:pPr>
      <w:r>
        <w:rPr>
          <w:noProof/>
        </w:rPr>
        <mc:AlternateContent>
          <mc:Choice Requires="wps">
            <w:drawing>
              <wp:anchor distT="0" distB="0" distL="0" distR="0" simplePos="0" relativeHeight="487587840" behindDoc="1" locked="0" layoutInCell="1" allowOverlap="1" wp14:anchorId="733FDBA0" wp14:editId="4413B8EC">
                <wp:simplePos x="0" y="0"/>
                <wp:positionH relativeFrom="page">
                  <wp:posOffset>914400</wp:posOffset>
                </wp:positionH>
                <wp:positionV relativeFrom="paragraph">
                  <wp:posOffset>178435</wp:posOffset>
                </wp:positionV>
                <wp:extent cx="1828800" cy="889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9DC2" id="Rectangle 7" o:spid="_x0000_s1026" style="position:absolute;margin-left:1in;margin-top:14.0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" fillcolor="black" stroked="f">
                <w10:wrap type="topAndBottom" anchorx="page"/>
              </v:rect>
            </w:pict>
          </mc:Fallback>
        </mc:AlternateContent>
      </w:r>
    </w:p>
    <w:p w14:paraId="733FDAEC" w14:textId="77777777" w:rsidR="002D73DB" w:rsidRDefault="008379E8">
      <w:pPr>
        <w:pStyle w:val="BodyText"/>
        <w:spacing w:before="67"/>
        <w:ind w:left="120"/>
      </w:pPr>
      <w:r>
        <w:rPr>
          <w:position w:val="6"/>
          <w:sz w:val="12"/>
        </w:rPr>
        <w:t xml:space="preserve">1 </w:t>
      </w:r>
      <w:r>
        <w:t xml:space="preserve">Safeguarding Adults England, NHS Digital December 2019 </w:t>
      </w:r>
      <w:hyperlink r:id="rId14">
        <w:r>
          <w:rPr>
            <w:color w:val="0462C1"/>
            <w:u w:val="single" w:color="0462C1"/>
          </w:rPr>
          <w:t>https://digital.nhs.uk/data-and-information/publications/statistical/safeguarding-adults</w:t>
        </w:r>
      </w:hyperlink>
    </w:p>
    <w:p w14:paraId="733FDAED" w14:textId="77777777" w:rsidR="002D73DB" w:rsidRDefault="002D73DB">
      <w:pPr>
        <w:sectPr w:rsidR="002D73DB">
          <w:pgSz w:w="16840" w:h="11910" w:orient="landscape"/>
          <w:pgMar w:top="1100" w:right="740" w:bottom="820" w:left="1320" w:header="0" w:footer="633" w:gutter="0"/>
          <w:cols w:space="720"/>
        </w:sectPr>
      </w:pPr>
    </w:p>
    <w:p w14:paraId="733FDAEE" w14:textId="77777777" w:rsidR="002D73DB" w:rsidRDefault="002D73DB">
      <w:pPr>
        <w:pStyle w:val="BodyText"/>
        <w:spacing w:before="4"/>
        <w:rPr>
          <w:sz w:val="20"/>
        </w:rPr>
      </w:pPr>
    </w:p>
    <w:p w14:paraId="733FDAEF" w14:textId="7254A38A" w:rsidR="002D73DB" w:rsidRDefault="008379E8">
      <w:pPr>
        <w:spacing w:before="95" w:line="259" w:lineRule="auto"/>
        <w:ind w:left="120" w:right="1009"/>
        <w:rPr>
          <w:sz w:val="24"/>
        </w:rPr>
      </w:pPr>
      <w:r>
        <w:rPr>
          <w:b/>
          <w:sz w:val="24"/>
        </w:rPr>
        <w:t xml:space="preserve">This framework suggests that where it appears that criteria a and b of </w:t>
      </w:r>
      <w:r w:rsidR="00624AA8">
        <w:rPr>
          <w:b/>
          <w:sz w:val="24"/>
        </w:rPr>
        <w:t>S</w:t>
      </w:r>
      <w:r>
        <w:rPr>
          <w:b/>
          <w:sz w:val="24"/>
        </w:rPr>
        <w:t>42(1), Care Act (2014)</w:t>
      </w:r>
      <w:r>
        <w:rPr>
          <w:b/>
          <w:position w:val="8"/>
          <w:sz w:val="16"/>
        </w:rPr>
        <w:t xml:space="preserve">2 </w:t>
      </w:r>
      <w:r>
        <w:rPr>
          <w:b/>
          <w:sz w:val="24"/>
        </w:rPr>
        <w:t xml:space="preserve">are met and the referring worker/ organisation believes therefore that the circumstances amount to a safeguarding concern, then this is raised to the local authority. </w:t>
      </w:r>
      <w:r>
        <w:rPr>
          <w:sz w:val="24"/>
        </w:rPr>
        <w:t xml:space="preserve">Refer to definitions set out in the </w:t>
      </w:r>
      <w:hyperlink r:id="rId15">
        <w:r>
          <w:rPr>
            <w:color w:val="0462C1"/>
            <w:sz w:val="24"/>
            <w:u w:val="single" w:color="0462C1"/>
          </w:rPr>
          <w:t>framework</w:t>
        </w:r>
        <w:r>
          <w:rPr>
            <w:color w:val="0462C1"/>
            <w:sz w:val="24"/>
          </w:rPr>
          <w:t xml:space="preserve"> </w:t>
        </w:r>
      </w:hyperlink>
      <w:r>
        <w:rPr>
          <w:sz w:val="24"/>
        </w:rPr>
        <w:t xml:space="preserve">and in a separate ‘definitions’ </w:t>
      </w:r>
      <w:r w:rsidR="00624AA8">
        <w:rPr>
          <w:sz w:val="24"/>
        </w:rPr>
        <w:t>quick guide</w:t>
      </w:r>
      <w:r>
        <w:rPr>
          <w:sz w:val="24"/>
        </w:rPr>
        <w:t>. Use these to develop a common cross sector language and understanding of terms central to defining adult safeguarding concerns.</w:t>
      </w:r>
    </w:p>
    <w:p w14:paraId="733FDAF0" w14:textId="77777777" w:rsidR="002D73DB" w:rsidRDefault="002D73DB">
      <w:pPr>
        <w:pStyle w:val="BodyText"/>
        <w:spacing w:before="9"/>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3118"/>
        <w:gridCol w:w="3970"/>
        <w:gridCol w:w="4111"/>
      </w:tblGrid>
      <w:tr w:rsidR="002D73DB" w14:paraId="733FDAF6" w14:textId="77777777">
        <w:trPr>
          <w:trHeight w:val="1104"/>
        </w:trPr>
        <w:tc>
          <w:tcPr>
            <w:tcW w:w="3262" w:type="dxa"/>
          </w:tcPr>
          <w:p w14:paraId="733FDAF1" w14:textId="77777777" w:rsidR="002D73DB" w:rsidRPr="00DE5664" w:rsidRDefault="008379E8">
            <w:pPr>
              <w:pStyle w:val="TableParagraph"/>
              <w:ind w:left="107" w:right="391"/>
              <w:rPr>
                <w:b/>
              </w:rPr>
            </w:pPr>
            <w:r w:rsidRPr="00DE5664">
              <w:rPr>
                <w:b/>
              </w:rPr>
              <w:t>Key determinants for making decisions about potential safeguarding</w:t>
            </w:r>
          </w:p>
          <w:p w14:paraId="733FDAF2" w14:textId="77777777" w:rsidR="002D73DB" w:rsidRPr="00DE5664" w:rsidRDefault="008379E8">
            <w:pPr>
              <w:pStyle w:val="TableParagraph"/>
              <w:spacing w:before="1" w:line="255" w:lineRule="exact"/>
              <w:ind w:left="107"/>
              <w:rPr>
                <w:b/>
              </w:rPr>
            </w:pPr>
            <w:r w:rsidRPr="00DE5664">
              <w:rPr>
                <w:b/>
              </w:rPr>
              <w:t>concerns</w:t>
            </w:r>
          </w:p>
        </w:tc>
        <w:tc>
          <w:tcPr>
            <w:tcW w:w="3118" w:type="dxa"/>
          </w:tcPr>
          <w:p w14:paraId="733FDAF3" w14:textId="77777777" w:rsidR="002D73DB" w:rsidRPr="00DE5664" w:rsidRDefault="008379E8">
            <w:pPr>
              <w:pStyle w:val="TableParagraph"/>
              <w:ind w:left="107" w:right="194"/>
              <w:rPr>
                <w:b/>
              </w:rPr>
            </w:pPr>
            <w:r w:rsidRPr="00DE5664">
              <w:rPr>
                <w:b/>
              </w:rPr>
              <w:t>Key aspects of the underpinning legislation and guidance</w:t>
            </w:r>
          </w:p>
        </w:tc>
        <w:tc>
          <w:tcPr>
            <w:tcW w:w="3970" w:type="dxa"/>
          </w:tcPr>
          <w:p w14:paraId="733FDAF4" w14:textId="77777777" w:rsidR="002D73DB" w:rsidRPr="00DE5664" w:rsidRDefault="008379E8">
            <w:pPr>
              <w:pStyle w:val="TableParagraph"/>
              <w:rPr>
                <w:b/>
              </w:rPr>
            </w:pPr>
            <w:r w:rsidRPr="00DE5664">
              <w:rPr>
                <w:b/>
              </w:rPr>
              <w:t>Key considerations</w:t>
            </w:r>
          </w:p>
        </w:tc>
        <w:tc>
          <w:tcPr>
            <w:tcW w:w="4111" w:type="dxa"/>
          </w:tcPr>
          <w:p w14:paraId="733FDAF5" w14:textId="77777777" w:rsidR="002D73DB" w:rsidRPr="00DE5664" w:rsidRDefault="008379E8">
            <w:pPr>
              <w:pStyle w:val="TableParagraph"/>
              <w:rPr>
                <w:b/>
              </w:rPr>
            </w:pPr>
            <w:r w:rsidRPr="00DE5664">
              <w:rPr>
                <w:b/>
              </w:rPr>
              <w:t>Key actions</w:t>
            </w:r>
          </w:p>
        </w:tc>
      </w:tr>
      <w:tr w:rsidR="002D73DB" w14:paraId="733FDB08" w14:textId="77777777">
        <w:trPr>
          <w:trHeight w:val="4140"/>
        </w:trPr>
        <w:tc>
          <w:tcPr>
            <w:tcW w:w="3262" w:type="dxa"/>
          </w:tcPr>
          <w:p w14:paraId="26D79CDE" w14:textId="77777777" w:rsidR="00571F5E" w:rsidRDefault="008379E8" w:rsidP="00571F5E">
            <w:pPr>
              <w:pStyle w:val="TableParagraph"/>
              <w:numPr>
                <w:ilvl w:val="0"/>
                <w:numId w:val="4"/>
              </w:numPr>
              <w:ind w:left="447" w:hanging="283"/>
              <w:rPr>
                <w:b/>
              </w:rPr>
            </w:pPr>
            <w:r w:rsidRPr="00DE5664">
              <w:rPr>
                <w:b/>
              </w:rPr>
              <w:t>Is this a safeguarding concern?</w:t>
            </w:r>
          </w:p>
          <w:p w14:paraId="6290C8B0" w14:textId="77777777" w:rsidR="00571F5E" w:rsidRDefault="00571F5E" w:rsidP="00571F5E">
            <w:pPr>
              <w:pStyle w:val="TableParagraph"/>
              <w:ind w:left="447"/>
              <w:rPr>
                <w:b/>
              </w:rPr>
            </w:pPr>
          </w:p>
          <w:p w14:paraId="592456B0" w14:textId="77777777" w:rsidR="00571F5E" w:rsidRDefault="008379E8" w:rsidP="00571F5E">
            <w:pPr>
              <w:pStyle w:val="TableParagraph"/>
              <w:rPr>
                <w:b/>
              </w:rPr>
            </w:pPr>
            <w:r w:rsidRPr="00DE5664">
              <w:t>The person raising the safeguarding concern and the local authority to consider:</w:t>
            </w:r>
          </w:p>
          <w:p w14:paraId="45D1BFDF" w14:textId="77777777" w:rsidR="00571F5E" w:rsidRDefault="00571F5E" w:rsidP="00571F5E">
            <w:pPr>
              <w:pStyle w:val="TableParagraph"/>
              <w:rPr>
                <w:b/>
              </w:rPr>
            </w:pPr>
          </w:p>
          <w:p w14:paraId="535F4594" w14:textId="77777777" w:rsidR="00571F5E" w:rsidRDefault="008379E8" w:rsidP="00571F5E">
            <w:pPr>
              <w:pStyle w:val="TableParagraph"/>
              <w:rPr>
                <w:b/>
              </w:rPr>
            </w:pPr>
            <w:r w:rsidRPr="00DE5664">
              <w:rPr>
                <w:b/>
              </w:rPr>
              <w:t>a) The definitions central to the decision</w:t>
            </w:r>
          </w:p>
          <w:p w14:paraId="72F02998" w14:textId="77777777" w:rsidR="00571F5E" w:rsidRDefault="00571F5E" w:rsidP="00571F5E">
            <w:pPr>
              <w:pStyle w:val="TableParagraph"/>
              <w:rPr>
                <w:b/>
              </w:rPr>
            </w:pPr>
          </w:p>
          <w:p w14:paraId="733FDAFA" w14:textId="08FD27E5" w:rsidR="002D73DB" w:rsidRPr="00571F5E" w:rsidRDefault="008379E8" w:rsidP="00571F5E">
            <w:pPr>
              <w:pStyle w:val="TableParagraph"/>
              <w:rPr>
                <w:b/>
              </w:rPr>
            </w:pPr>
            <w:r w:rsidRPr="00DE5664">
              <w:t>i) Does this person have need for care and support? S42 (1) a, Care Act, 2014.</w:t>
            </w:r>
          </w:p>
        </w:tc>
        <w:tc>
          <w:tcPr>
            <w:tcW w:w="3118" w:type="dxa"/>
          </w:tcPr>
          <w:p w14:paraId="733FDAFB" w14:textId="77777777" w:rsidR="002D73DB" w:rsidRPr="00DE5664" w:rsidRDefault="008379E8">
            <w:pPr>
              <w:pStyle w:val="TableParagraph"/>
              <w:ind w:left="107" w:right="119"/>
            </w:pPr>
            <w:r w:rsidRPr="00DE5664">
              <w:t xml:space="preserve">Care and Support Statutory Guidance </w:t>
            </w:r>
            <w:r w:rsidRPr="00DE5664">
              <w:rPr>
                <w:spacing w:val="-4"/>
              </w:rPr>
              <w:t xml:space="preserve">(DHSC </w:t>
            </w:r>
            <w:r w:rsidRPr="00DE5664">
              <w:t>2020)</w:t>
            </w:r>
          </w:p>
          <w:p w14:paraId="733FDAFC" w14:textId="77777777" w:rsidR="002D73DB" w:rsidRPr="00DE5664" w:rsidRDefault="008379E8">
            <w:pPr>
              <w:pStyle w:val="TableParagraph"/>
              <w:spacing w:line="274" w:lineRule="exact"/>
              <w:ind w:left="107"/>
            </w:pPr>
            <w:r w:rsidRPr="00DE5664">
              <w:t>14.6</w:t>
            </w:r>
          </w:p>
          <w:p w14:paraId="733FDAFF" w14:textId="641D58DB" w:rsidR="002D73DB" w:rsidRDefault="008379E8" w:rsidP="001F7C11">
            <w:pPr>
              <w:pStyle w:val="TableParagraph"/>
              <w:spacing w:line="278" w:lineRule="exact"/>
              <w:ind w:left="107"/>
            </w:pPr>
            <w:r w:rsidRPr="00DE5664">
              <w:t>14.16, 14.17</w:t>
            </w:r>
            <w:r w:rsidR="00115C34" w:rsidRPr="00115C34">
              <w:rPr>
                <w:position w:val="8"/>
                <w:sz w:val="16"/>
                <w:szCs w:val="16"/>
              </w:rPr>
              <w:t>3</w:t>
            </w:r>
            <w:r w:rsidR="001F7C11">
              <w:t>, 14.99</w:t>
            </w:r>
          </w:p>
          <w:p w14:paraId="54E6C544" w14:textId="77777777" w:rsidR="001F7C11" w:rsidRPr="00DE5664" w:rsidRDefault="001F7C11" w:rsidP="001F7C11">
            <w:pPr>
              <w:pStyle w:val="TableParagraph"/>
              <w:spacing w:line="278" w:lineRule="exact"/>
              <w:ind w:left="107"/>
            </w:pPr>
          </w:p>
          <w:p w14:paraId="0ECE5EB4" w14:textId="77777777" w:rsidR="00834F48" w:rsidRDefault="008379E8">
            <w:pPr>
              <w:pStyle w:val="TableParagraph"/>
              <w:spacing w:before="1"/>
              <w:ind w:left="107" w:right="446"/>
            </w:pPr>
            <w:r w:rsidRPr="00DE5664">
              <w:t xml:space="preserve">Care and Support (Eligibility Criteria) Regulations, 2014 </w:t>
            </w:r>
          </w:p>
          <w:p w14:paraId="7BA9C801" w14:textId="77777777" w:rsidR="00834F48" w:rsidRDefault="00834F48">
            <w:pPr>
              <w:pStyle w:val="TableParagraph"/>
              <w:spacing w:before="1"/>
              <w:ind w:left="107" w:right="446"/>
            </w:pPr>
          </w:p>
          <w:p w14:paraId="733FDB00" w14:textId="1E13E0F5" w:rsidR="002D73DB" w:rsidRPr="00DE5664" w:rsidRDefault="008379E8">
            <w:pPr>
              <w:pStyle w:val="TableParagraph"/>
              <w:spacing w:before="1"/>
              <w:ind w:left="107" w:right="446"/>
            </w:pPr>
            <w:r w:rsidRPr="00DE5664">
              <w:t>Care and Support Statutory Guidance (DHSC 2020)</w:t>
            </w:r>
          </w:p>
          <w:p w14:paraId="733FDB01" w14:textId="4D6694EF" w:rsidR="002D73DB" w:rsidRPr="00DE5664" w:rsidRDefault="008379E8">
            <w:pPr>
              <w:pStyle w:val="TableParagraph"/>
              <w:ind w:left="107"/>
            </w:pPr>
            <w:r w:rsidRPr="00DE5664">
              <w:t>14.16, 14.1</w:t>
            </w:r>
            <w:r w:rsidR="000C27D8">
              <w:t xml:space="preserve">7 - </w:t>
            </w:r>
            <w:r w:rsidR="00834F48">
              <w:t>14.24</w:t>
            </w:r>
          </w:p>
          <w:p w14:paraId="733FDB02" w14:textId="77777777" w:rsidR="002D73DB" w:rsidRPr="00DE5664" w:rsidRDefault="008379E8">
            <w:pPr>
              <w:pStyle w:val="TableParagraph"/>
              <w:ind w:left="107"/>
            </w:pPr>
            <w:r w:rsidRPr="00DE5664">
              <w:t>14.33, 14.36</w:t>
            </w:r>
          </w:p>
        </w:tc>
        <w:tc>
          <w:tcPr>
            <w:tcW w:w="3970" w:type="dxa"/>
          </w:tcPr>
          <w:p w14:paraId="733FDB03" w14:textId="6B1CCB3D" w:rsidR="002D73DB" w:rsidRDefault="008379E8">
            <w:pPr>
              <w:pStyle w:val="TableParagraph"/>
              <w:ind w:right="163"/>
            </w:pPr>
            <w:r w:rsidRPr="00DE5664">
              <w:t>14.6 Local authority statutory adult safeguarding duties apply equally to those adults with care and support needs regardless of whether those needs are being met, regardless of whether the adult lacks mental capacity or not, and regardless of setting, other than prisons and approved premises</w:t>
            </w:r>
            <w:r w:rsidR="00F76C2B">
              <w:t>.</w:t>
            </w:r>
          </w:p>
          <w:p w14:paraId="4AADCBD6" w14:textId="77777777" w:rsidR="00571F5E" w:rsidRDefault="00571F5E" w:rsidP="00571F5E">
            <w:pPr>
              <w:pStyle w:val="TableParagraph"/>
              <w:ind w:left="0" w:right="163"/>
            </w:pPr>
          </w:p>
          <w:p w14:paraId="1DA20BBB" w14:textId="2035E021" w:rsidR="00624AA8" w:rsidRPr="00DE5664" w:rsidRDefault="008379E8" w:rsidP="00624AA8">
            <w:pPr>
              <w:pStyle w:val="TableParagraph"/>
              <w:ind w:right="816"/>
              <w:rPr>
                <w:szCs w:val="20"/>
              </w:rPr>
            </w:pPr>
            <w:r w:rsidRPr="00DE5664">
              <w:t>14.17 Local authorities should not limit their view of what constitutes abuse or neglect, as they can take many forms and the circumstances</w:t>
            </w:r>
            <w:r w:rsidR="00624AA8" w:rsidRPr="00DE5664">
              <w:rPr>
                <w:szCs w:val="20"/>
              </w:rPr>
              <w:t xml:space="preserve"> of the individual case should always be considered.</w:t>
            </w:r>
          </w:p>
          <w:p w14:paraId="733FDB04" w14:textId="6CA8BBB4" w:rsidR="002D73DB" w:rsidRPr="00DE5664" w:rsidRDefault="002D73DB">
            <w:pPr>
              <w:pStyle w:val="TableParagraph"/>
              <w:spacing w:before="1"/>
              <w:ind w:right="128"/>
              <w:jc w:val="both"/>
            </w:pPr>
          </w:p>
        </w:tc>
        <w:tc>
          <w:tcPr>
            <w:tcW w:w="4111" w:type="dxa"/>
          </w:tcPr>
          <w:p w14:paraId="733FDB05" w14:textId="0871A125" w:rsidR="002D73DB" w:rsidRDefault="008379E8">
            <w:pPr>
              <w:pStyle w:val="TableParagraph"/>
              <w:ind w:left="130" w:right="349"/>
            </w:pPr>
            <w:r w:rsidRPr="00DE5664">
              <w:t>Develop across sectors clear and consistent definitions of key terms which appear in S42 (1) a and b, Care Act, 2014. For example, through formal training and local guidelines</w:t>
            </w:r>
            <w:r w:rsidR="00F76C2B">
              <w:t>.</w:t>
            </w:r>
          </w:p>
          <w:p w14:paraId="0A3FB819" w14:textId="77777777" w:rsidR="00571F5E" w:rsidRPr="00DE5664" w:rsidRDefault="00571F5E">
            <w:pPr>
              <w:pStyle w:val="TableParagraph"/>
              <w:ind w:left="130" w:right="349"/>
            </w:pPr>
          </w:p>
          <w:p w14:paraId="7CEA4163" w14:textId="77777777" w:rsidR="00571F5E" w:rsidRDefault="008379E8" w:rsidP="00571F5E">
            <w:pPr>
              <w:pStyle w:val="TableParagraph"/>
              <w:spacing w:line="259" w:lineRule="auto"/>
              <w:ind w:left="149" w:right="103"/>
            </w:pPr>
            <w:r w:rsidRPr="00DE5664">
              <w:t>Use these definitions in constructive mutual challenge across the partnership.</w:t>
            </w:r>
          </w:p>
          <w:p w14:paraId="185A2757" w14:textId="77777777" w:rsidR="00571F5E" w:rsidRDefault="00571F5E" w:rsidP="00571F5E">
            <w:pPr>
              <w:pStyle w:val="TableParagraph"/>
              <w:spacing w:line="259" w:lineRule="auto"/>
              <w:ind w:left="149" w:right="103"/>
            </w:pPr>
          </w:p>
          <w:p w14:paraId="733FDB07" w14:textId="41DB6262" w:rsidR="002D73DB" w:rsidRPr="00DE5664" w:rsidRDefault="008379E8" w:rsidP="00571F5E">
            <w:pPr>
              <w:pStyle w:val="TableParagraph"/>
              <w:spacing w:line="259" w:lineRule="auto"/>
              <w:ind w:left="149" w:right="103"/>
            </w:pPr>
            <w:r w:rsidRPr="00DE5664">
              <w:t xml:space="preserve">Develop a partnership culture that supports all partners’ understanding and participation in decision making. See </w:t>
            </w:r>
            <w:hyperlink r:id="rId16">
              <w:r w:rsidRPr="00DE5664">
                <w:rPr>
                  <w:color w:val="0462C1"/>
                  <w:u w:val="single" w:color="0462C1"/>
                </w:rPr>
                <w:t xml:space="preserve">appendix 4 </w:t>
              </w:r>
              <w:r w:rsidRPr="00DE5664">
                <w:rPr>
                  <w:rFonts w:ascii="Calibri" w:hAnsi="Calibri"/>
                  <w:color w:val="0462C1"/>
                  <w:u w:val="single" w:color="0462C1"/>
                </w:rPr>
                <w:t xml:space="preserve">and </w:t>
              </w:r>
              <w:r w:rsidRPr="00DE5664">
                <w:rPr>
                  <w:color w:val="0462C1"/>
                  <w:u w:val="single" w:color="0462C1"/>
                </w:rPr>
                <w:t>5 of the</w:t>
              </w:r>
            </w:hyperlink>
            <w:r w:rsidRPr="00DE5664">
              <w:rPr>
                <w:color w:val="0462C1"/>
              </w:rPr>
              <w:t xml:space="preserve"> </w:t>
            </w:r>
            <w:hyperlink r:id="rId17">
              <w:r w:rsidRPr="00DE5664">
                <w:rPr>
                  <w:color w:val="0462C1"/>
                  <w:u w:val="single" w:color="0462C1"/>
                </w:rPr>
                <w:t>safeguarding concerns framework</w:t>
              </w:r>
            </w:hyperlink>
          </w:p>
        </w:tc>
      </w:tr>
    </w:tbl>
    <w:p w14:paraId="733FDB09" w14:textId="0A251E4F" w:rsidR="002D73DB" w:rsidRDefault="00115C34">
      <w:pPr>
        <w:pStyle w:val="BodyText"/>
        <w:spacing w:before="7"/>
        <w:rPr>
          <w:sz w:val="11"/>
        </w:rPr>
      </w:pPr>
      <w:r>
        <w:rPr>
          <w:noProof/>
        </w:rPr>
        <mc:AlternateContent>
          <mc:Choice Requires="wps">
            <w:drawing>
              <wp:anchor distT="0" distB="0" distL="0" distR="0" simplePos="0" relativeHeight="487588352" behindDoc="1" locked="0" layoutInCell="1" allowOverlap="1" wp14:anchorId="733FDBA1" wp14:editId="2B70316E">
                <wp:simplePos x="0" y="0"/>
                <wp:positionH relativeFrom="page">
                  <wp:posOffset>914400</wp:posOffset>
                </wp:positionH>
                <wp:positionV relativeFrom="paragraph">
                  <wp:posOffset>109855</wp:posOffset>
                </wp:positionV>
                <wp:extent cx="1828800" cy="889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225B" id="Rectangle 6" o:spid="_x0000_s1026" style="position:absolute;margin-left:1in;margin-top:8.6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" fillcolor="black" stroked="f">
                <w10:wrap type="topAndBottom" anchorx="page"/>
              </v:rect>
            </w:pict>
          </mc:Fallback>
        </mc:AlternateContent>
      </w:r>
    </w:p>
    <w:p w14:paraId="733FDB0A" w14:textId="77777777" w:rsidR="002D73DB" w:rsidRDefault="008379E8">
      <w:pPr>
        <w:spacing w:before="68"/>
        <w:ind w:left="120"/>
        <w:rPr>
          <w:b/>
          <w:sz w:val="18"/>
        </w:rPr>
      </w:pPr>
      <w:r>
        <w:rPr>
          <w:position w:val="6"/>
          <w:sz w:val="12"/>
        </w:rPr>
        <w:t xml:space="preserve">2 </w:t>
      </w:r>
      <w:r>
        <w:rPr>
          <w:b/>
          <w:sz w:val="18"/>
        </w:rPr>
        <w:t>Section 42, Care Act 2014</w:t>
      </w:r>
      <w:r>
        <w:rPr>
          <w:b/>
          <w:position w:val="6"/>
          <w:sz w:val="12"/>
        </w:rPr>
        <w:t>2</w:t>
      </w:r>
      <w:r>
        <w:rPr>
          <w:b/>
          <w:sz w:val="18"/>
        </w:rPr>
        <w:t>;</w:t>
      </w:r>
    </w:p>
    <w:p w14:paraId="733FDB0B" w14:textId="77777777" w:rsidR="002D73DB" w:rsidRDefault="008379E8">
      <w:pPr>
        <w:spacing w:before="1" w:line="207" w:lineRule="exact"/>
        <w:ind w:left="120"/>
        <w:rPr>
          <w:sz w:val="18"/>
        </w:rPr>
      </w:pPr>
      <w:r>
        <w:rPr>
          <w:b/>
          <w:sz w:val="18"/>
        </w:rPr>
        <w:t xml:space="preserve">Enquiry by local authority </w:t>
      </w:r>
      <w:r>
        <w:rPr>
          <w:sz w:val="18"/>
        </w:rPr>
        <w:t>(Referred to throughout the framework and this quick guide as S42.</w:t>
      </w:r>
    </w:p>
    <w:p w14:paraId="733FDB0C" w14:textId="77777777" w:rsidR="002D73DB" w:rsidRDefault="008379E8">
      <w:pPr>
        <w:pStyle w:val="BodyText"/>
        <w:ind w:left="120" w:right="3133"/>
      </w:pPr>
      <w:r>
        <w:t>(1) This section applies where a local authority has reasonable cause to suspect that an adult in its area (whether or not ordinarily resident there) (a)has needs for care and support (whether or not the authority is meeting any of those needs),</w:t>
      </w:r>
    </w:p>
    <w:p w14:paraId="733FDB0D" w14:textId="77777777" w:rsidR="002D73DB" w:rsidRDefault="008379E8">
      <w:pPr>
        <w:pStyle w:val="ListParagraph"/>
        <w:numPr>
          <w:ilvl w:val="0"/>
          <w:numId w:val="2"/>
        </w:numPr>
        <w:tabs>
          <w:tab w:val="left" w:pos="342"/>
        </w:tabs>
        <w:spacing w:line="206" w:lineRule="exact"/>
        <w:rPr>
          <w:sz w:val="18"/>
        </w:rPr>
      </w:pPr>
      <w:r>
        <w:rPr>
          <w:sz w:val="18"/>
        </w:rPr>
        <w:t>is experiencing, or is at risk of, abuse or neglect,</w:t>
      </w:r>
      <w:r>
        <w:rPr>
          <w:spacing w:val="-8"/>
          <w:sz w:val="18"/>
        </w:rPr>
        <w:t xml:space="preserve"> </w:t>
      </w:r>
      <w:r>
        <w:rPr>
          <w:sz w:val="18"/>
        </w:rPr>
        <w:t>and</w:t>
      </w:r>
    </w:p>
    <w:p w14:paraId="733FDB0E" w14:textId="77777777" w:rsidR="002D73DB" w:rsidRDefault="008379E8">
      <w:pPr>
        <w:pStyle w:val="ListParagraph"/>
        <w:numPr>
          <w:ilvl w:val="0"/>
          <w:numId w:val="2"/>
        </w:numPr>
        <w:tabs>
          <w:tab w:val="left" w:pos="332"/>
        </w:tabs>
        <w:spacing w:before="2" w:line="205" w:lineRule="exact"/>
        <w:ind w:left="331" w:hanging="212"/>
        <w:rPr>
          <w:sz w:val="18"/>
        </w:rPr>
      </w:pPr>
      <w:proofErr w:type="gramStart"/>
      <w:r>
        <w:rPr>
          <w:sz w:val="18"/>
        </w:rPr>
        <w:t>as a result of</w:t>
      </w:r>
      <w:proofErr w:type="gramEnd"/>
      <w:r>
        <w:rPr>
          <w:sz w:val="18"/>
        </w:rPr>
        <w:t xml:space="preserve"> those needs is unable to protect himself or herself against the abuse or neglect or the risk of</w:t>
      </w:r>
      <w:r>
        <w:rPr>
          <w:spacing w:val="-18"/>
          <w:sz w:val="18"/>
        </w:rPr>
        <w:t xml:space="preserve"> </w:t>
      </w:r>
      <w:r>
        <w:rPr>
          <w:sz w:val="18"/>
        </w:rPr>
        <w:t>it.</w:t>
      </w:r>
    </w:p>
    <w:p w14:paraId="733FDB0F" w14:textId="74668797" w:rsidR="002D73DB" w:rsidRDefault="00115C34">
      <w:pPr>
        <w:pStyle w:val="BodyText"/>
        <w:ind w:left="120" w:right="661"/>
      </w:pPr>
      <w:r>
        <w:rPr>
          <w:position w:val="6"/>
          <w:sz w:val="12"/>
        </w:rPr>
        <w:t>3</w:t>
      </w:r>
      <w:r w:rsidR="008379E8">
        <w:rPr>
          <w:position w:val="6"/>
          <w:sz w:val="12"/>
        </w:rPr>
        <w:t xml:space="preserve"> </w:t>
      </w:r>
      <w:r w:rsidR="008379E8">
        <w:t xml:space="preserve">Neither the Care Act (2014) nor the associated Care and Support Statutory Guidance (DHSC, 2020) state that all three criteria (S42 , Care Act, 2014) must be fulfilled in order for </w:t>
      </w:r>
      <w:r w:rsidR="008379E8" w:rsidRPr="006B142D">
        <w:rPr>
          <w:b/>
          <w:bCs/>
          <w:i/>
        </w:rPr>
        <w:t>all organisations</w:t>
      </w:r>
      <w:r w:rsidR="008379E8">
        <w:rPr>
          <w:i/>
        </w:rPr>
        <w:t xml:space="preserve"> </w:t>
      </w:r>
      <w:r w:rsidR="008379E8">
        <w:t xml:space="preserve">to conclude (from available information) that an issue constitutes a safeguarding concern and to refer it to the local authority. Note that 14.17 of the Care and Support Statutory Guidance (DHSC, 2020) advises </w:t>
      </w:r>
      <w:r w:rsidR="008379E8" w:rsidRPr="006B142D">
        <w:rPr>
          <w:b/>
          <w:bCs/>
          <w:i/>
        </w:rPr>
        <w:t>local authorities</w:t>
      </w:r>
      <w:r w:rsidR="008379E8">
        <w:rPr>
          <w:i/>
        </w:rPr>
        <w:t xml:space="preserve"> </w:t>
      </w:r>
      <w:r w:rsidR="008379E8">
        <w:t>to consider the three criteria and to explore concerns raised in a person-centred way. There may be considerable complexity and time involved in deciding whether there is reasonable cause to suspect that, as a result of care and support needs the adult is unable to protect himself or herself against the abuse or neglect or the risk of it (the third criterion in S42(1c), Care Act (2014).</w:t>
      </w:r>
    </w:p>
    <w:p w14:paraId="733FDB10" w14:textId="77777777" w:rsidR="002D73DB" w:rsidRDefault="002D73DB">
      <w:pPr>
        <w:sectPr w:rsidR="002D73DB">
          <w:pgSz w:w="16840" w:h="11910" w:orient="landscape"/>
          <w:pgMar w:top="1100" w:right="740" w:bottom="820" w:left="1320" w:header="0" w:footer="633" w:gutter="0"/>
          <w:cols w:space="720"/>
        </w:sectPr>
      </w:pPr>
    </w:p>
    <w:p w14:paraId="733FDB11" w14:textId="77777777" w:rsidR="002D73DB" w:rsidRDefault="002D73DB">
      <w:pPr>
        <w:pStyle w:val="BodyText"/>
        <w:rPr>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3118"/>
        <w:gridCol w:w="3970"/>
        <w:gridCol w:w="4111"/>
      </w:tblGrid>
      <w:tr w:rsidR="002D73DB" w14:paraId="733FDB28" w14:textId="77777777">
        <w:trPr>
          <w:trHeight w:val="6072"/>
        </w:trPr>
        <w:tc>
          <w:tcPr>
            <w:tcW w:w="3262" w:type="dxa"/>
          </w:tcPr>
          <w:p w14:paraId="733FDB12" w14:textId="0228E6D9" w:rsidR="002D73DB" w:rsidRPr="00DE5664" w:rsidRDefault="008379E8">
            <w:pPr>
              <w:pStyle w:val="TableParagraph"/>
              <w:ind w:left="107" w:right="83"/>
              <w:rPr>
                <w:szCs w:val="20"/>
              </w:rPr>
            </w:pPr>
            <w:r w:rsidRPr="00DE5664">
              <w:rPr>
                <w:szCs w:val="20"/>
              </w:rPr>
              <w:t>ii) ‘Is this person ‘experiencing, or …at risk of, abuse or neglect’? S42 (1) b, Care Act, 2014.</w:t>
            </w:r>
          </w:p>
          <w:p w14:paraId="733FDB13" w14:textId="77777777" w:rsidR="002D73DB" w:rsidRDefault="002D73DB">
            <w:pPr>
              <w:pStyle w:val="TableParagraph"/>
              <w:spacing w:before="2"/>
              <w:ind w:left="0"/>
              <w:rPr>
                <w:sz w:val="24"/>
              </w:rPr>
            </w:pPr>
          </w:p>
          <w:p w14:paraId="733FDB14" w14:textId="49865EA3" w:rsidR="002D73DB" w:rsidRDefault="008379E8">
            <w:pPr>
              <w:pStyle w:val="TableParagraph"/>
              <w:spacing w:line="237" w:lineRule="auto"/>
              <w:ind w:left="107" w:right="125"/>
              <w:rPr>
                <w:b/>
                <w:position w:val="8"/>
                <w:sz w:val="14"/>
                <w:szCs w:val="20"/>
              </w:rPr>
            </w:pPr>
            <w:r w:rsidRPr="00DE5664">
              <w:rPr>
                <w:b/>
                <w:szCs w:val="20"/>
              </w:rPr>
              <w:t>b</w:t>
            </w:r>
            <w:r w:rsidRPr="00DE5664">
              <w:rPr>
                <w:b/>
                <w:sz w:val="20"/>
                <w:szCs w:val="18"/>
              </w:rPr>
              <w:t>)</w:t>
            </w:r>
            <w:r w:rsidRPr="00DE5664">
              <w:rPr>
                <w:b/>
                <w:szCs w:val="20"/>
              </w:rPr>
              <w:t xml:space="preserve"> Consider differentiating between safeguarding concerns and quality of care concerns</w:t>
            </w:r>
            <w:r w:rsidR="00115C34">
              <w:rPr>
                <w:b/>
                <w:position w:val="8"/>
                <w:sz w:val="14"/>
                <w:szCs w:val="20"/>
              </w:rPr>
              <w:t>4</w:t>
            </w:r>
          </w:p>
          <w:p w14:paraId="42E97EF6" w14:textId="77777777" w:rsidR="00571F5E" w:rsidRPr="00571F5E" w:rsidRDefault="00571F5E">
            <w:pPr>
              <w:pStyle w:val="TableParagraph"/>
              <w:spacing w:line="237" w:lineRule="auto"/>
              <w:ind w:left="107" w:right="125"/>
              <w:rPr>
                <w:b/>
                <w:szCs w:val="32"/>
              </w:rPr>
            </w:pPr>
          </w:p>
          <w:p w14:paraId="733FDB15" w14:textId="77777777" w:rsidR="002D73DB" w:rsidRPr="00DE5664" w:rsidRDefault="008379E8">
            <w:pPr>
              <w:pStyle w:val="TableParagraph"/>
              <w:spacing w:before="5"/>
              <w:ind w:left="107" w:right="230"/>
              <w:rPr>
                <w:szCs w:val="20"/>
              </w:rPr>
            </w:pPr>
            <w:r w:rsidRPr="00DE5664">
              <w:rPr>
                <w:szCs w:val="20"/>
              </w:rPr>
              <w:t>Care and health provision require a particular focus in partnership development and support in defining safeguarding concerns.</w:t>
            </w:r>
          </w:p>
          <w:p w14:paraId="733FDB16" w14:textId="77777777" w:rsidR="002D73DB" w:rsidRDefault="008379E8">
            <w:pPr>
              <w:pStyle w:val="TableParagraph"/>
              <w:ind w:left="107" w:right="964"/>
              <w:rPr>
                <w:sz w:val="24"/>
              </w:rPr>
            </w:pPr>
            <w:r w:rsidRPr="00DE5664">
              <w:rPr>
                <w:szCs w:val="20"/>
              </w:rPr>
              <w:t xml:space="preserve">See section 5 of the </w:t>
            </w:r>
            <w:hyperlink r:id="rId18">
              <w:r w:rsidRPr="00DE5664">
                <w:rPr>
                  <w:color w:val="0462C1"/>
                  <w:szCs w:val="20"/>
                  <w:u w:val="single" w:color="0462C1"/>
                </w:rPr>
                <w:t>concerns framework</w:t>
              </w:r>
            </w:hyperlink>
          </w:p>
        </w:tc>
        <w:tc>
          <w:tcPr>
            <w:tcW w:w="3118" w:type="dxa"/>
          </w:tcPr>
          <w:p w14:paraId="733FDB17" w14:textId="77777777" w:rsidR="002D73DB" w:rsidRPr="00DE5664" w:rsidRDefault="008379E8">
            <w:pPr>
              <w:pStyle w:val="TableParagraph"/>
              <w:ind w:left="107" w:right="119"/>
              <w:rPr>
                <w:szCs w:val="20"/>
              </w:rPr>
            </w:pPr>
            <w:r w:rsidRPr="00DE5664">
              <w:rPr>
                <w:szCs w:val="20"/>
              </w:rPr>
              <w:t xml:space="preserve">Care and Support Statutory Guidance </w:t>
            </w:r>
            <w:r w:rsidRPr="00DE5664">
              <w:rPr>
                <w:spacing w:val="-4"/>
                <w:szCs w:val="20"/>
              </w:rPr>
              <w:t xml:space="preserve">(DHSC </w:t>
            </w:r>
            <w:r w:rsidRPr="00DE5664">
              <w:rPr>
                <w:szCs w:val="20"/>
              </w:rPr>
              <w:t>2020)</w:t>
            </w:r>
          </w:p>
          <w:p w14:paraId="733FDB1B" w14:textId="4C8EB98B" w:rsidR="002D73DB" w:rsidRDefault="008379E8" w:rsidP="00A734AF">
            <w:pPr>
              <w:pStyle w:val="TableParagraph"/>
              <w:ind w:left="107"/>
              <w:rPr>
                <w:sz w:val="24"/>
              </w:rPr>
            </w:pPr>
            <w:r w:rsidRPr="00DE5664">
              <w:rPr>
                <w:szCs w:val="20"/>
              </w:rPr>
              <w:t>14.7</w:t>
            </w:r>
            <w:r w:rsidR="001F7C11">
              <w:rPr>
                <w:szCs w:val="20"/>
              </w:rPr>
              <w:t xml:space="preserve">, </w:t>
            </w:r>
            <w:r w:rsidRPr="00DE5664">
              <w:rPr>
                <w:szCs w:val="20"/>
              </w:rPr>
              <w:t>14.9</w:t>
            </w:r>
            <w:r w:rsidR="00A734AF">
              <w:rPr>
                <w:szCs w:val="20"/>
              </w:rPr>
              <w:t xml:space="preserve">, </w:t>
            </w:r>
            <w:r w:rsidRPr="00DE5664">
              <w:rPr>
                <w:szCs w:val="20"/>
              </w:rPr>
              <w:t>14.68</w:t>
            </w:r>
            <w:r w:rsidR="000C27D8">
              <w:rPr>
                <w:szCs w:val="20"/>
              </w:rPr>
              <w:t xml:space="preserve"> - </w:t>
            </w:r>
            <w:r w:rsidRPr="00DE5664">
              <w:rPr>
                <w:szCs w:val="20"/>
              </w:rPr>
              <w:t>14.74</w:t>
            </w:r>
            <w:r w:rsidR="001F7C11">
              <w:rPr>
                <w:szCs w:val="20"/>
              </w:rPr>
              <w:t xml:space="preserve">, </w:t>
            </w:r>
            <w:r w:rsidRPr="00DE5664">
              <w:rPr>
                <w:szCs w:val="20"/>
              </w:rPr>
              <w:t>14.92</w:t>
            </w:r>
          </w:p>
        </w:tc>
        <w:tc>
          <w:tcPr>
            <w:tcW w:w="3970" w:type="dxa"/>
          </w:tcPr>
          <w:p w14:paraId="733FDB1E" w14:textId="77777777" w:rsidR="002D73DB" w:rsidRPr="00DE5664" w:rsidRDefault="008379E8">
            <w:pPr>
              <w:pStyle w:val="TableParagraph"/>
              <w:ind w:right="256"/>
              <w:rPr>
                <w:szCs w:val="20"/>
              </w:rPr>
            </w:pPr>
            <w:r w:rsidRPr="00DE5664">
              <w:rPr>
                <w:szCs w:val="20"/>
              </w:rPr>
              <w:t xml:space="preserve">Developing cultures of collaboration, parity of esteem, trust, honesty, transparency is vital. Examples supporting such a culture are set out in </w:t>
            </w:r>
            <w:hyperlink r:id="rId19">
              <w:r w:rsidRPr="00624AA8">
                <w:rPr>
                  <w:color w:val="0070C0"/>
                  <w:szCs w:val="20"/>
                  <w:u w:val="single"/>
                </w:rPr>
                <w:t>appendix 4</w:t>
              </w:r>
            </w:hyperlink>
            <w:r w:rsidRPr="00624AA8">
              <w:rPr>
                <w:color w:val="0070C0"/>
                <w:szCs w:val="20"/>
              </w:rPr>
              <w:t xml:space="preserve"> </w:t>
            </w:r>
            <w:hyperlink r:id="rId20">
              <w:r w:rsidRPr="00624AA8">
                <w:rPr>
                  <w:color w:val="0070C0"/>
                  <w:szCs w:val="20"/>
                  <w:u w:val="single"/>
                </w:rPr>
                <w:t>and 5, concerns framework</w:t>
              </w:r>
            </w:hyperlink>
          </w:p>
          <w:p w14:paraId="733FDB1F" w14:textId="77777777" w:rsidR="002D73DB" w:rsidRPr="00DE5664" w:rsidRDefault="002D73DB">
            <w:pPr>
              <w:pStyle w:val="TableParagraph"/>
              <w:spacing w:before="1"/>
              <w:ind w:left="0"/>
              <w:rPr>
                <w:szCs w:val="20"/>
              </w:rPr>
            </w:pPr>
          </w:p>
          <w:p w14:paraId="733FDB20" w14:textId="77777777" w:rsidR="002D73DB" w:rsidRPr="00DE5664" w:rsidRDefault="008379E8">
            <w:pPr>
              <w:pStyle w:val="TableParagraph"/>
              <w:ind w:right="96"/>
              <w:rPr>
                <w:szCs w:val="20"/>
              </w:rPr>
            </w:pPr>
            <w:r w:rsidRPr="00DE5664">
              <w:rPr>
                <w:szCs w:val="20"/>
              </w:rPr>
              <w:t>This encourages conversations to enable informed decisions about the range of pathways rather than defaulting to raising a safeguarding concern.</w:t>
            </w:r>
          </w:p>
          <w:p w14:paraId="733FDB21" w14:textId="77777777" w:rsidR="002D73DB" w:rsidRPr="00DE5664" w:rsidRDefault="002D73DB">
            <w:pPr>
              <w:pStyle w:val="TableParagraph"/>
              <w:ind w:left="0"/>
              <w:rPr>
                <w:szCs w:val="20"/>
              </w:rPr>
            </w:pPr>
          </w:p>
          <w:p w14:paraId="733FDB22" w14:textId="383D1093" w:rsidR="002D73DB" w:rsidRPr="00DE5664" w:rsidRDefault="008379E8">
            <w:pPr>
              <w:pStyle w:val="TableParagraph"/>
              <w:spacing w:line="270" w:lineRule="atLeast"/>
              <w:ind w:right="296"/>
              <w:rPr>
                <w:szCs w:val="20"/>
              </w:rPr>
            </w:pPr>
            <w:r w:rsidRPr="00DE5664">
              <w:rPr>
                <w:szCs w:val="20"/>
              </w:rPr>
              <w:t xml:space="preserve">The Oxfordshire decision support tool (see </w:t>
            </w:r>
            <w:hyperlink r:id="rId21">
              <w:r w:rsidRPr="00624AA8">
                <w:rPr>
                  <w:color w:val="0070C0"/>
                  <w:szCs w:val="20"/>
                  <w:u w:val="single"/>
                </w:rPr>
                <w:t>appendix 4, concerns</w:t>
              </w:r>
            </w:hyperlink>
            <w:r w:rsidRPr="00624AA8">
              <w:rPr>
                <w:color w:val="0070C0"/>
                <w:szCs w:val="20"/>
              </w:rPr>
              <w:t xml:space="preserve"> </w:t>
            </w:r>
            <w:hyperlink r:id="rId22">
              <w:r w:rsidRPr="00624AA8">
                <w:rPr>
                  <w:color w:val="0070C0"/>
                  <w:szCs w:val="20"/>
                  <w:u w:val="single"/>
                </w:rPr>
                <w:t>framework</w:t>
              </w:r>
            </w:hyperlink>
            <w:r w:rsidRPr="00DE5664">
              <w:rPr>
                <w:szCs w:val="20"/>
              </w:rPr>
              <w:t>) and the local support offered alongside this has helped in this regard. (Other localities have based tools on this</w:t>
            </w:r>
            <w:r w:rsidR="00F76C2B">
              <w:rPr>
                <w:szCs w:val="20"/>
              </w:rPr>
              <w:t>.)</w:t>
            </w:r>
          </w:p>
        </w:tc>
        <w:tc>
          <w:tcPr>
            <w:tcW w:w="4111" w:type="dxa"/>
          </w:tcPr>
          <w:p w14:paraId="733FDB23" w14:textId="77777777" w:rsidR="002D73DB" w:rsidRPr="00DE5664" w:rsidRDefault="008379E8">
            <w:pPr>
              <w:pStyle w:val="TableParagraph"/>
              <w:ind w:right="90"/>
              <w:rPr>
                <w:szCs w:val="20"/>
              </w:rPr>
            </w:pPr>
            <w:r w:rsidRPr="00DE5664">
              <w:rPr>
                <w:szCs w:val="20"/>
              </w:rPr>
              <w:t xml:space="preserve">Protocols support best practice where they emphasise core considerations set out in this </w:t>
            </w:r>
            <w:hyperlink r:id="rId23">
              <w:r w:rsidRPr="00624AA8">
                <w:rPr>
                  <w:color w:val="0070C0"/>
                  <w:szCs w:val="20"/>
                  <w:u w:val="single"/>
                </w:rPr>
                <w:t>framework</w:t>
              </w:r>
              <w:r w:rsidRPr="00DE5664">
                <w:rPr>
                  <w:szCs w:val="20"/>
                </w:rPr>
                <w:t xml:space="preserve"> </w:t>
              </w:r>
            </w:hyperlink>
            <w:r w:rsidRPr="00DE5664">
              <w:rPr>
                <w:szCs w:val="20"/>
              </w:rPr>
              <w:t>rather than just offering lists of examples or ‘thresholds’ that must be met to receive safeguarding support.</w:t>
            </w:r>
          </w:p>
          <w:p w14:paraId="733FDB24" w14:textId="77777777" w:rsidR="002D73DB" w:rsidRPr="00DE5664" w:rsidRDefault="002D73DB">
            <w:pPr>
              <w:pStyle w:val="TableParagraph"/>
              <w:spacing w:before="3"/>
              <w:ind w:left="0"/>
              <w:rPr>
                <w:szCs w:val="20"/>
              </w:rPr>
            </w:pPr>
          </w:p>
          <w:p w14:paraId="733FDB25" w14:textId="79F335C5" w:rsidR="002D73DB" w:rsidRDefault="008379E8">
            <w:pPr>
              <w:pStyle w:val="TableParagraph"/>
              <w:spacing w:line="237" w:lineRule="auto"/>
              <w:ind w:right="144"/>
              <w:rPr>
                <w:sz w:val="24"/>
              </w:rPr>
            </w:pPr>
            <w:r w:rsidRPr="00DE5664">
              <w:rPr>
                <w:szCs w:val="20"/>
              </w:rPr>
              <w:t>Refer to specialist advice/</w:t>
            </w:r>
            <w:r w:rsidR="00624AA8">
              <w:rPr>
                <w:szCs w:val="20"/>
              </w:rPr>
              <w:t>d</w:t>
            </w:r>
            <w:r w:rsidRPr="00DE5664">
              <w:rPr>
                <w:szCs w:val="20"/>
              </w:rPr>
              <w:t xml:space="preserve">ecision making protocols on specific issues, for example </w:t>
            </w:r>
            <w:hyperlink r:id="rId24">
              <w:r w:rsidRPr="00DE5664">
                <w:rPr>
                  <w:color w:val="0462C1"/>
                  <w:szCs w:val="20"/>
                  <w:u w:val="single" w:color="0462C1"/>
                </w:rPr>
                <w:t>national guidance on</w:t>
              </w:r>
            </w:hyperlink>
            <w:r w:rsidRPr="00DE5664">
              <w:rPr>
                <w:color w:val="0462C1"/>
                <w:szCs w:val="20"/>
              </w:rPr>
              <w:t xml:space="preserve"> </w:t>
            </w:r>
            <w:hyperlink r:id="rId25">
              <w:r w:rsidRPr="00DE5664">
                <w:rPr>
                  <w:color w:val="0462C1"/>
                  <w:szCs w:val="20"/>
                  <w:u w:val="single" w:color="0462C1"/>
                </w:rPr>
                <w:t>pressure areas</w:t>
              </w:r>
            </w:hyperlink>
            <w:r>
              <w:rPr>
                <w:position w:val="8"/>
                <w:sz w:val="16"/>
              </w:rPr>
              <w:t>5</w:t>
            </w:r>
            <w:r>
              <w:rPr>
                <w:sz w:val="24"/>
              </w:rPr>
              <w:t>.</w:t>
            </w:r>
          </w:p>
          <w:p w14:paraId="733FDB26" w14:textId="77777777" w:rsidR="002D73DB" w:rsidRPr="00571F5E" w:rsidRDefault="002D73DB">
            <w:pPr>
              <w:pStyle w:val="TableParagraph"/>
              <w:spacing w:before="9"/>
              <w:ind w:left="0"/>
              <w:rPr>
                <w:szCs w:val="18"/>
              </w:rPr>
            </w:pPr>
          </w:p>
          <w:p w14:paraId="76D6F708" w14:textId="77777777" w:rsidR="00A734AF" w:rsidRDefault="008379E8">
            <w:pPr>
              <w:pStyle w:val="TableParagraph"/>
              <w:spacing w:line="259" w:lineRule="auto"/>
              <w:ind w:right="130"/>
              <w:rPr>
                <w:szCs w:val="20"/>
              </w:rPr>
            </w:pPr>
            <w:r w:rsidRPr="00DE5664">
              <w:rPr>
                <w:szCs w:val="20"/>
              </w:rPr>
              <w:t xml:space="preserve">Horizon scanning for forthcoming cross sector support should be ongoing in the context of developing decision making on safeguarding concerns. </w:t>
            </w:r>
          </w:p>
          <w:p w14:paraId="733FDB27" w14:textId="1A70DCE5" w:rsidR="002D73DB" w:rsidRDefault="008379E8">
            <w:pPr>
              <w:pStyle w:val="TableParagraph"/>
              <w:spacing w:line="259" w:lineRule="auto"/>
              <w:ind w:right="130"/>
              <w:rPr>
                <w:sz w:val="24"/>
              </w:rPr>
            </w:pPr>
            <w:r w:rsidRPr="00DE5664">
              <w:rPr>
                <w:szCs w:val="20"/>
              </w:rPr>
              <w:t>For example, CQC has indicated forthcoming revised guidance on statutory notifications.</w:t>
            </w:r>
          </w:p>
        </w:tc>
      </w:tr>
    </w:tbl>
    <w:p w14:paraId="733FDB29" w14:textId="77777777" w:rsidR="002D73DB" w:rsidRDefault="002D73DB">
      <w:pPr>
        <w:pStyle w:val="BodyText"/>
        <w:rPr>
          <w:sz w:val="20"/>
        </w:rPr>
      </w:pPr>
    </w:p>
    <w:p w14:paraId="733FDB2A" w14:textId="77777777" w:rsidR="002D73DB" w:rsidRDefault="002D73DB">
      <w:pPr>
        <w:pStyle w:val="BodyText"/>
        <w:rPr>
          <w:sz w:val="20"/>
        </w:rPr>
      </w:pPr>
    </w:p>
    <w:p w14:paraId="733FDB2B" w14:textId="77777777" w:rsidR="002D73DB" w:rsidRDefault="002D73DB">
      <w:pPr>
        <w:pStyle w:val="BodyText"/>
        <w:rPr>
          <w:sz w:val="20"/>
        </w:rPr>
      </w:pPr>
    </w:p>
    <w:p w14:paraId="733FDB2C" w14:textId="77777777" w:rsidR="002D73DB" w:rsidRDefault="002D73DB">
      <w:pPr>
        <w:pStyle w:val="BodyText"/>
        <w:rPr>
          <w:sz w:val="20"/>
        </w:rPr>
      </w:pPr>
    </w:p>
    <w:p w14:paraId="733FDB2D" w14:textId="77777777" w:rsidR="002D73DB" w:rsidRDefault="002D73DB">
      <w:pPr>
        <w:pStyle w:val="BodyText"/>
        <w:rPr>
          <w:sz w:val="20"/>
        </w:rPr>
      </w:pPr>
    </w:p>
    <w:p w14:paraId="733FDB2E" w14:textId="77777777" w:rsidR="002D73DB" w:rsidRDefault="002D73DB">
      <w:pPr>
        <w:pStyle w:val="BodyText"/>
        <w:rPr>
          <w:sz w:val="20"/>
        </w:rPr>
      </w:pPr>
    </w:p>
    <w:p w14:paraId="733FDB2F" w14:textId="77777777" w:rsidR="002D73DB" w:rsidRDefault="002D73DB">
      <w:pPr>
        <w:pStyle w:val="BodyText"/>
        <w:rPr>
          <w:sz w:val="20"/>
        </w:rPr>
      </w:pPr>
    </w:p>
    <w:p w14:paraId="733FDB30" w14:textId="38A052A7" w:rsidR="002D73DB" w:rsidRDefault="00115C34">
      <w:pPr>
        <w:pStyle w:val="BodyText"/>
        <w:spacing w:before="9"/>
        <w:rPr>
          <w:sz w:val="23"/>
        </w:rPr>
      </w:pPr>
      <w:r>
        <w:rPr>
          <w:noProof/>
        </w:rPr>
        <mc:AlternateContent>
          <mc:Choice Requires="wps">
            <w:drawing>
              <wp:anchor distT="0" distB="0" distL="0" distR="0" simplePos="0" relativeHeight="487588864" behindDoc="1" locked="0" layoutInCell="1" allowOverlap="1" wp14:anchorId="733FDBA2" wp14:editId="2B3F5B5A">
                <wp:simplePos x="0" y="0"/>
                <wp:positionH relativeFrom="page">
                  <wp:posOffset>914400</wp:posOffset>
                </wp:positionH>
                <wp:positionV relativeFrom="paragraph">
                  <wp:posOffset>198755</wp:posOffset>
                </wp:positionV>
                <wp:extent cx="1828800" cy="889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69417" id="Rectangle 5" o:spid="_x0000_s1026" style="position:absolute;margin-left:1in;margin-top:15.6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" fillcolor="black" stroked="f">
                <w10:wrap type="topAndBottom" anchorx="page"/>
              </v:rect>
            </w:pict>
          </mc:Fallback>
        </mc:AlternateContent>
      </w:r>
    </w:p>
    <w:p w14:paraId="733FDB31" w14:textId="7663B676" w:rsidR="002D73DB" w:rsidRPr="00F76C2B" w:rsidRDefault="00115C34">
      <w:pPr>
        <w:pStyle w:val="BodyText"/>
        <w:spacing w:before="67"/>
        <w:ind w:left="120" w:right="766"/>
      </w:pPr>
      <w:r>
        <w:rPr>
          <w:position w:val="6"/>
        </w:rPr>
        <w:t>4</w:t>
      </w:r>
      <w:r w:rsidR="008379E8" w:rsidRPr="00F76C2B">
        <w:rPr>
          <w:position w:val="6"/>
        </w:rPr>
        <w:t xml:space="preserve"> </w:t>
      </w:r>
      <w:r w:rsidR="008379E8" w:rsidRPr="00F76C2B">
        <w:t xml:space="preserve">See section 5 of the </w:t>
      </w:r>
      <w:hyperlink r:id="rId26">
        <w:r w:rsidR="008379E8" w:rsidRPr="00F76C2B">
          <w:rPr>
            <w:color w:val="0462C1"/>
            <w:u w:val="single" w:color="0462C1"/>
          </w:rPr>
          <w:t>safeguarding concerns framework</w:t>
        </w:r>
        <w:r w:rsidR="008379E8" w:rsidRPr="00F76C2B">
          <w:rPr>
            <w:color w:val="0462C1"/>
          </w:rPr>
          <w:t xml:space="preserve"> </w:t>
        </w:r>
      </w:hyperlink>
      <w:r w:rsidR="008379E8" w:rsidRPr="00F76C2B">
        <w:t>(LGA/ADASS 2020) ‘Supporting decision making in relation to provider concerns in social care and health; linking this to the core messages’</w:t>
      </w:r>
    </w:p>
    <w:p w14:paraId="733FDB32" w14:textId="77777777" w:rsidR="002D73DB" w:rsidRDefault="008379E8">
      <w:pPr>
        <w:spacing w:line="302" w:lineRule="auto"/>
        <w:ind w:left="120" w:right="766"/>
        <w:rPr>
          <w:sz w:val="16"/>
        </w:rPr>
      </w:pPr>
      <w:r w:rsidRPr="00F76C2B">
        <w:rPr>
          <w:rFonts w:ascii="Calibri"/>
          <w:position w:val="8"/>
          <w:sz w:val="18"/>
          <w:szCs w:val="18"/>
        </w:rPr>
        <w:t xml:space="preserve">5 </w:t>
      </w:r>
      <w:r w:rsidRPr="00F76C2B">
        <w:rPr>
          <w:sz w:val="18"/>
          <w:szCs w:val="18"/>
        </w:rPr>
        <w:t xml:space="preserve">DHSC 2018 Safeguarding Adults protocol: pressure ulcers and the interface with a safeguarding enquiry. Make reference to other available guidance for example </w:t>
      </w:r>
      <w:proofErr w:type="gramStart"/>
      <w:r w:rsidRPr="00F76C2B">
        <w:rPr>
          <w:sz w:val="18"/>
          <w:szCs w:val="18"/>
        </w:rPr>
        <w:t>on:</w:t>
      </w:r>
      <w:proofErr w:type="gramEnd"/>
      <w:r w:rsidRPr="00F76C2B">
        <w:rPr>
          <w:sz w:val="18"/>
          <w:szCs w:val="18"/>
        </w:rPr>
        <w:t xml:space="preserve"> medication errors; falls; manual handling; use of restrictive practices</w:t>
      </w:r>
      <w:r>
        <w:rPr>
          <w:sz w:val="16"/>
        </w:rPr>
        <w:t>.</w:t>
      </w:r>
    </w:p>
    <w:p w14:paraId="733FDB33" w14:textId="77777777" w:rsidR="002D73DB" w:rsidRDefault="002D73DB">
      <w:pPr>
        <w:spacing w:line="302" w:lineRule="auto"/>
        <w:rPr>
          <w:sz w:val="16"/>
        </w:rPr>
        <w:sectPr w:rsidR="002D73DB">
          <w:pgSz w:w="16840" w:h="11910" w:orient="landscape"/>
          <w:pgMar w:top="1100" w:right="740" w:bottom="820" w:left="1320" w:header="0" w:footer="633" w:gutter="0"/>
          <w:cols w:space="720"/>
        </w:sectPr>
      </w:pPr>
    </w:p>
    <w:p w14:paraId="733FDB34" w14:textId="77777777" w:rsidR="002D73DB" w:rsidRDefault="002D73DB">
      <w:pPr>
        <w:pStyle w:val="BodyText"/>
        <w:rPr>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3118"/>
        <w:gridCol w:w="3970"/>
        <w:gridCol w:w="4111"/>
      </w:tblGrid>
      <w:tr w:rsidR="002D73DB" w14:paraId="733FDB39" w14:textId="77777777">
        <w:trPr>
          <w:trHeight w:val="1103"/>
        </w:trPr>
        <w:tc>
          <w:tcPr>
            <w:tcW w:w="3262" w:type="dxa"/>
          </w:tcPr>
          <w:p w14:paraId="733FDB35" w14:textId="77777777" w:rsidR="002D73DB" w:rsidRDefault="008379E8">
            <w:pPr>
              <w:pStyle w:val="TableParagraph"/>
              <w:spacing w:line="270" w:lineRule="atLeast"/>
              <w:ind w:left="107" w:right="391"/>
              <w:rPr>
                <w:b/>
                <w:sz w:val="24"/>
              </w:rPr>
            </w:pPr>
            <w:r>
              <w:rPr>
                <w:b/>
                <w:sz w:val="24"/>
              </w:rPr>
              <w:t>Key determinants for making decisions about potential safeguarding concerns</w:t>
            </w:r>
          </w:p>
        </w:tc>
        <w:tc>
          <w:tcPr>
            <w:tcW w:w="3118" w:type="dxa"/>
          </w:tcPr>
          <w:p w14:paraId="733FDB36" w14:textId="77777777" w:rsidR="002D73DB" w:rsidRDefault="008379E8">
            <w:pPr>
              <w:pStyle w:val="TableParagraph"/>
              <w:ind w:left="107" w:right="194"/>
              <w:rPr>
                <w:b/>
                <w:sz w:val="24"/>
              </w:rPr>
            </w:pPr>
            <w:r>
              <w:rPr>
                <w:b/>
                <w:sz w:val="24"/>
              </w:rPr>
              <w:t>Key aspects of the underpinning legislation and guidance</w:t>
            </w:r>
          </w:p>
        </w:tc>
        <w:tc>
          <w:tcPr>
            <w:tcW w:w="3970" w:type="dxa"/>
          </w:tcPr>
          <w:p w14:paraId="733FDB37" w14:textId="77777777" w:rsidR="002D73DB" w:rsidRDefault="008379E8">
            <w:pPr>
              <w:pStyle w:val="TableParagraph"/>
              <w:rPr>
                <w:b/>
                <w:sz w:val="24"/>
              </w:rPr>
            </w:pPr>
            <w:r>
              <w:rPr>
                <w:b/>
                <w:sz w:val="24"/>
              </w:rPr>
              <w:t>Key considerations</w:t>
            </w:r>
          </w:p>
        </w:tc>
        <w:tc>
          <w:tcPr>
            <w:tcW w:w="4111" w:type="dxa"/>
          </w:tcPr>
          <w:p w14:paraId="733FDB38" w14:textId="77777777" w:rsidR="002D73DB" w:rsidRDefault="008379E8">
            <w:pPr>
              <w:pStyle w:val="TableParagraph"/>
              <w:rPr>
                <w:b/>
                <w:sz w:val="24"/>
              </w:rPr>
            </w:pPr>
            <w:r>
              <w:rPr>
                <w:b/>
                <w:sz w:val="24"/>
              </w:rPr>
              <w:t>Key actions</w:t>
            </w:r>
          </w:p>
        </w:tc>
      </w:tr>
      <w:tr w:rsidR="002D73DB" w14:paraId="733FDB5B" w14:textId="77777777">
        <w:trPr>
          <w:trHeight w:val="6281"/>
        </w:trPr>
        <w:tc>
          <w:tcPr>
            <w:tcW w:w="3262" w:type="dxa"/>
          </w:tcPr>
          <w:p w14:paraId="733FDB3A" w14:textId="054A9087" w:rsidR="002D73DB" w:rsidRPr="00DE5664" w:rsidRDefault="008379E8" w:rsidP="00DE5664">
            <w:pPr>
              <w:pStyle w:val="TableParagraph"/>
              <w:numPr>
                <w:ilvl w:val="0"/>
                <w:numId w:val="4"/>
              </w:numPr>
              <w:ind w:left="447" w:right="222" w:hanging="283"/>
              <w:rPr>
                <w:rFonts w:ascii="Calibri"/>
                <w:sz w:val="14"/>
                <w:szCs w:val="20"/>
              </w:rPr>
            </w:pPr>
            <w:r w:rsidRPr="00DE5664">
              <w:rPr>
                <w:b/>
                <w:szCs w:val="20"/>
              </w:rPr>
              <w:t xml:space="preserve">Base decisions on </w:t>
            </w:r>
            <w:r w:rsidR="00DE5664" w:rsidRPr="00DE5664">
              <w:rPr>
                <w:b/>
                <w:szCs w:val="20"/>
              </w:rPr>
              <w:t xml:space="preserve">a </w:t>
            </w:r>
            <w:r w:rsidRPr="00DE5664">
              <w:rPr>
                <w:b/>
                <w:szCs w:val="20"/>
              </w:rPr>
              <w:t>shared understanding and application of fundamental principles</w:t>
            </w:r>
            <w:r w:rsidRPr="00DE5664">
              <w:rPr>
                <w:rFonts w:ascii="Calibri"/>
                <w:position w:val="8"/>
                <w:sz w:val="14"/>
                <w:szCs w:val="20"/>
              </w:rPr>
              <w:t>6</w:t>
            </w:r>
          </w:p>
          <w:p w14:paraId="733FDB3B" w14:textId="77777777" w:rsidR="002D73DB" w:rsidRDefault="002D73DB" w:rsidP="00571F5E">
            <w:pPr>
              <w:pStyle w:val="NoSpacing"/>
            </w:pPr>
          </w:p>
          <w:p w14:paraId="733FDB3C" w14:textId="77777777" w:rsidR="002D73DB" w:rsidRPr="00DE5664" w:rsidRDefault="008379E8">
            <w:pPr>
              <w:pStyle w:val="TableParagraph"/>
              <w:ind w:left="129" w:right="159"/>
              <w:rPr>
                <w:szCs w:val="20"/>
              </w:rPr>
            </w:pPr>
            <w:r w:rsidRPr="00DE5664">
              <w:rPr>
                <w:szCs w:val="20"/>
              </w:rPr>
              <w:t>These are at the heart of the Care Act (2014) and the associated Care and Support Statutory Guidance (DHSC,2020).</w:t>
            </w:r>
          </w:p>
          <w:p w14:paraId="733FDB3D" w14:textId="77777777" w:rsidR="002D73DB" w:rsidRDefault="002D73DB">
            <w:pPr>
              <w:pStyle w:val="TableParagraph"/>
              <w:ind w:left="0"/>
              <w:rPr>
                <w:sz w:val="24"/>
              </w:rPr>
            </w:pPr>
          </w:p>
          <w:p w14:paraId="733FDB3E" w14:textId="77777777" w:rsidR="002D73DB" w:rsidRDefault="008379E8">
            <w:pPr>
              <w:pStyle w:val="TableParagraph"/>
              <w:spacing w:before="1"/>
              <w:ind w:left="129" w:right="354"/>
              <w:rPr>
                <w:rFonts w:ascii="Calibri"/>
                <w:sz w:val="16"/>
              </w:rPr>
            </w:pPr>
            <w:r w:rsidRPr="00DE5664">
              <w:rPr>
                <w:szCs w:val="20"/>
              </w:rPr>
              <w:t>This includes a duty to promote wellbeing and to adopt a flexible approach, focusing on what matters most to the individual</w:t>
            </w:r>
            <w:r>
              <w:rPr>
                <w:sz w:val="24"/>
              </w:rPr>
              <w:t>.</w:t>
            </w:r>
            <w:r>
              <w:rPr>
                <w:rFonts w:ascii="Calibri"/>
                <w:position w:val="8"/>
                <w:sz w:val="16"/>
              </w:rPr>
              <w:t>7</w:t>
            </w:r>
          </w:p>
        </w:tc>
        <w:tc>
          <w:tcPr>
            <w:tcW w:w="3118" w:type="dxa"/>
          </w:tcPr>
          <w:p w14:paraId="733FDB3F" w14:textId="77777777" w:rsidR="002D73DB" w:rsidRPr="00DE5664" w:rsidRDefault="008379E8">
            <w:pPr>
              <w:pStyle w:val="TableParagraph"/>
              <w:ind w:left="107" w:right="119"/>
              <w:rPr>
                <w:szCs w:val="20"/>
              </w:rPr>
            </w:pPr>
            <w:r w:rsidRPr="00DE5664">
              <w:rPr>
                <w:szCs w:val="20"/>
              </w:rPr>
              <w:t xml:space="preserve">Care and Support Statutory Guidance </w:t>
            </w:r>
            <w:r w:rsidRPr="00DE5664">
              <w:rPr>
                <w:spacing w:val="-4"/>
                <w:szCs w:val="20"/>
              </w:rPr>
              <w:t xml:space="preserve">(DHSC </w:t>
            </w:r>
            <w:r w:rsidRPr="00DE5664">
              <w:rPr>
                <w:szCs w:val="20"/>
              </w:rPr>
              <w:t>2020)</w:t>
            </w:r>
          </w:p>
          <w:p w14:paraId="05300E97" w14:textId="4790DE90" w:rsidR="00DE5664" w:rsidRDefault="008379E8" w:rsidP="00DE5664">
            <w:pPr>
              <w:pStyle w:val="TableParagraph"/>
              <w:ind w:left="107"/>
              <w:rPr>
                <w:szCs w:val="20"/>
              </w:rPr>
            </w:pPr>
            <w:r w:rsidRPr="00DE5664">
              <w:rPr>
                <w:szCs w:val="20"/>
              </w:rPr>
              <w:t>14.8</w:t>
            </w:r>
            <w:r w:rsidR="00A734AF">
              <w:rPr>
                <w:szCs w:val="20"/>
              </w:rPr>
              <w:t xml:space="preserve">, </w:t>
            </w:r>
            <w:r w:rsidRPr="00DE5664">
              <w:rPr>
                <w:szCs w:val="20"/>
              </w:rPr>
              <w:t>14.13</w:t>
            </w:r>
            <w:r w:rsidR="000C27D8">
              <w:rPr>
                <w:szCs w:val="20"/>
              </w:rPr>
              <w:t xml:space="preserve"> - </w:t>
            </w:r>
            <w:r w:rsidRPr="00DE5664">
              <w:rPr>
                <w:szCs w:val="20"/>
              </w:rPr>
              <w:t>14.15</w:t>
            </w:r>
            <w:r w:rsidR="000C27D8">
              <w:rPr>
                <w:szCs w:val="20"/>
              </w:rPr>
              <w:t xml:space="preserve">, </w:t>
            </w:r>
            <w:r w:rsidRPr="00DE5664">
              <w:rPr>
                <w:szCs w:val="20"/>
              </w:rPr>
              <w:t>14.17</w:t>
            </w:r>
          </w:p>
          <w:p w14:paraId="733FDB43" w14:textId="3DF7F783" w:rsidR="002D73DB" w:rsidRPr="00DE5664" w:rsidRDefault="008379E8" w:rsidP="00DE5664">
            <w:pPr>
              <w:pStyle w:val="TableParagraph"/>
              <w:ind w:left="107"/>
              <w:rPr>
                <w:szCs w:val="20"/>
              </w:rPr>
            </w:pPr>
            <w:r w:rsidRPr="00DE5664">
              <w:t xml:space="preserve">14.92 (principles for local </w:t>
            </w:r>
            <w:r w:rsidR="00624AA8" w:rsidRPr="00DE5664">
              <w:t>decision</w:t>
            </w:r>
            <w:r w:rsidR="00624AA8">
              <w:t>-making</w:t>
            </w:r>
            <w:r w:rsidRPr="00DE5664">
              <w:rPr>
                <w:spacing w:val="-10"/>
              </w:rPr>
              <w:t xml:space="preserve"> </w:t>
            </w:r>
            <w:r w:rsidRPr="00DE5664">
              <w:t>process) 14.99</w:t>
            </w:r>
          </w:p>
          <w:p w14:paraId="733FDB44" w14:textId="77777777" w:rsidR="002D73DB" w:rsidRPr="00DE5664" w:rsidRDefault="002D73DB">
            <w:pPr>
              <w:pStyle w:val="TableParagraph"/>
              <w:ind w:left="0"/>
              <w:rPr>
                <w:szCs w:val="20"/>
              </w:rPr>
            </w:pPr>
          </w:p>
          <w:p w14:paraId="733FDB45" w14:textId="77777777" w:rsidR="002D73DB" w:rsidRPr="00DE5664" w:rsidRDefault="008379E8">
            <w:pPr>
              <w:pStyle w:val="TableParagraph"/>
              <w:spacing w:before="1"/>
              <w:ind w:left="107"/>
              <w:rPr>
                <w:szCs w:val="20"/>
              </w:rPr>
            </w:pPr>
            <w:r w:rsidRPr="00DE5664">
              <w:rPr>
                <w:szCs w:val="20"/>
              </w:rPr>
              <w:t>Care Act (2014)</w:t>
            </w:r>
          </w:p>
          <w:p w14:paraId="733FDB47" w14:textId="29B255A2" w:rsidR="002D73DB" w:rsidRPr="00DE5664" w:rsidRDefault="008379E8" w:rsidP="00A734AF">
            <w:pPr>
              <w:pStyle w:val="TableParagraph"/>
              <w:spacing w:before="14"/>
              <w:ind w:left="107"/>
              <w:rPr>
                <w:szCs w:val="20"/>
              </w:rPr>
            </w:pPr>
            <w:r w:rsidRPr="00DE5664">
              <w:rPr>
                <w:szCs w:val="20"/>
              </w:rPr>
              <w:t>Sections 1, 6, 7, 9, 10</w:t>
            </w:r>
            <w:r w:rsidR="00A734AF">
              <w:rPr>
                <w:szCs w:val="20"/>
              </w:rPr>
              <w:t xml:space="preserve">, </w:t>
            </w:r>
            <w:r w:rsidRPr="00DE5664">
              <w:rPr>
                <w:szCs w:val="20"/>
              </w:rPr>
              <w:t>11</w:t>
            </w:r>
            <w:r w:rsidR="00A734AF">
              <w:rPr>
                <w:szCs w:val="20"/>
              </w:rPr>
              <w:t>,</w:t>
            </w:r>
          </w:p>
          <w:p w14:paraId="733FDB48" w14:textId="754B7596" w:rsidR="002D73DB" w:rsidRPr="00DE5664" w:rsidRDefault="008379E8">
            <w:pPr>
              <w:pStyle w:val="TableParagraph"/>
              <w:ind w:left="107"/>
              <w:rPr>
                <w:szCs w:val="20"/>
              </w:rPr>
            </w:pPr>
            <w:r w:rsidRPr="00DE5664">
              <w:rPr>
                <w:szCs w:val="20"/>
              </w:rPr>
              <w:t>68</w:t>
            </w:r>
          </w:p>
          <w:p w14:paraId="733FDB49" w14:textId="77777777" w:rsidR="002D73DB" w:rsidRPr="00DE5664" w:rsidRDefault="002D73DB">
            <w:pPr>
              <w:pStyle w:val="TableParagraph"/>
              <w:ind w:left="0"/>
              <w:rPr>
                <w:szCs w:val="20"/>
              </w:rPr>
            </w:pPr>
          </w:p>
          <w:p w14:paraId="733FDB4A" w14:textId="4F732CE1" w:rsidR="002D73DB" w:rsidRPr="00DE5664" w:rsidRDefault="008379E8">
            <w:pPr>
              <w:pStyle w:val="TableParagraph"/>
              <w:spacing w:line="252" w:lineRule="auto"/>
              <w:ind w:left="107" w:right="179"/>
              <w:rPr>
                <w:szCs w:val="20"/>
              </w:rPr>
            </w:pPr>
            <w:r w:rsidRPr="00DE5664">
              <w:rPr>
                <w:szCs w:val="20"/>
              </w:rPr>
              <w:t>Mental Capacity Act 2014 Human Rights Act 1998</w:t>
            </w:r>
          </w:p>
          <w:p w14:paraId="733FDB4B" w14:textId="5208CE7F" w:rsidR="002D73DB" w:rsidRDefault="008379E8">
            <w:pPr>
              <w:pStyle w:val="TableParagraph"/>
              <w:spacing w:before="1"/>
              <w:ind w:left="107"/>
              <w:rPr>
                <w:sz w:val="24"/>
              </w:rPr>
            </w:pPr>
            <w:r w:rsidRPr="00DE5664">
              <w:rPr>
                <w:szCs w:val="20"/>
              </w:rPr>
              <w:t>Data Protection Act 2018</w:t>
            </w:r>
          </w:p>
        </w:tc>
        <w:tc>
          <w:tcPr>
            <w:tcW w:w="3970" w:type="dxa"/>
          </w:tcPr>
          <w:p w14:paraId="733FDB4C" w14:textId="6037A86A" w:rsidR="002D73DB" w:rsidRDefault="008379E8">
            <w:pPr>
              <w:pStyle w:val="TableParagraph"/>
              <w:spacing w:before="2" w:line="237" w:lineRule="auto"/>
              <w:ind w:right="163"/>
              <w:rPr>
                <w:szCs w:val="20"/>
              </w:rPr>
            </w:pPr>
            <w:r w:rsidRPr="00DE5664">
              <w:rPr>
                <w:szCs w:val="20"/>
              </w:rPr>
              <w:t>The six statutory safeguarding adults principles</w:t>
            </w:r>
            <w:r>
              <w:rPr>
                <w:position w:val="8"/>
                <w:sz w:val="16"/>
              </w:rPr>
              <w:t xml:space="preserve">8 </w:t>
            </w:r>
            <w:r w:rsidRPr="00DE5664">
              <w:t>i</w:t>
            </w:r>
            <w:r w:rsidRPr="00DE5664">
              <w:rPr>
                <w:szCs w:val="20"/>
              </w:rPr>
              <w:t xml:space="preserve">n the context of the Human Rights Act </w:t>
            </w:r>
            <w:r w:rsidR="00614C3F">
              <w:rPr>
                <w:szCs w:val="20"/>
              </w:rPr>
              <w:t>(</w:t>
            </w:r>
            <w:r w:rsidR="00624AA8">
              <w:rPr>
                <w:szCs w:val="20"/>
              </w:rPr>
              <w:t>1</w:t>
            </w:r>
            <w:r w:rsidRPr="00DE5664">
              <w:rPr>
                <w:szCs w:val="20"/>
              </w:rPr>
              <w:t>998) are central to decisions/actions.</w:t>
            </w:r>
          </w:p>
          <w:p w14:paraId="5244D488" w14:textId="77777777" w:rsidR="00571F5E" w:rsidRPr="00DE5664" w:rsidRDefault="00571F5E">
            <w:pPr>
              <w:pStyle w:val="TableParagraph"/>
              <w:spacing w:before="2" w:line="237" w:lineRule="auto"/>
              <w:ind w:right="163"/>
              <w:rPr>
                <w:szCs w:val="20"/>
              </w:rPr>
            </w:pPr>
          </w:p>
          <w:p w14:paraId="733FDB4D" w14:textId="77777777" w:rsidR="002D73DB" w:rsidRPr="00DE5664" w:rsidRDefault="008379E8">
            <w:pPr>
              <w:pStyle w:val="TableParagraph"/>
              <w:spacing w:before="4"/>
              <w:ind w:right="456"/>
              <w:rPr>
                <w:szCs w:val="20"/>
              </w:rPr>
            </w:pPr>
            <w:r w:rsidRPr="00DE5664">
              <w:rPr>
                <w:szCs w:val="20"/>
              </w:rPr>
              <w:t>Alongside this application of the five principles of the Mental Capacity Act (2005).</w:t>
            </w:r>
          </w:p>
          <w:p w14:paraId="733FDB4E" w14:textId="77777777" w:rsidR="002D73DB" w:rsidRDefault="002D73DB">
            <w:pPr>
              <w:pStyle w:val="TableParagraph"/>
              <w:spacing w:before="6"/>
              <w:ind w:left="0"/>
              <w:rPr>
                <w:sz w:val="25"/>
              </w:rPr>
            </w:pPr>
          </w:p>
          <w:p w14:paraId="69437F59" w14:textId="77777777" w:rsidR="00571F5E" w:rsidRDefault="008379E8" w:rsidP="00571F5E">
            <w:pPr>
              <w:pStyle w:val="TableParagraph"/>
              <w:spacing w:line="259" w:lineRule="auto"/>
              <w:ind w:right="163"/>
              <w:rPr>
                <w:szCs w:val="20"/>
              </w:rPr>
            </w:pPr>
            <w:r w:rsidRPr="00DE5664">
              <w:rPr>
                <w:szCs w:val="20"/>
              </w:rPr>
              <w:t>There must be a strong focus on the person and their wishes, offering support for decision making where the adult has a ‘substantial difficulty’ in being involved.</w:t>
            </w:r>
          </w:p>
          <w:p w14:paraId="176957C1" w14:textId="77777777" w:rsidR="00571F5E" w:rsidRDefault="00571F5E" w:rsidP="00571F5E">
            <w:pPr>
              <w:pStyle w:val="TableParagraph"/>
              <w:spacing w:line="259" w:lineRule="auto"/>
              <w:ind w:right="163"/>
              <w:rPr>
                <w:szCs w:val="20"/>
              </w:rPr>
            </w:pPr>
          </w:p>
          <w:p w14:paraId="40CA13FA" w14:textId="77777777" w:rsidR="00571F5E" w:rsidRDefault="008379E8" w:rsidP="00571F5E">
            <w:pPr>
              <w:pStyle w:val="TableParagraph"/>
              <w:spacing w:line="259" w:lineRule="auto"/>
              <w:ind w:right="163"/>
              <w:rPr>
                <w:szCs w:val="20"/>
              </w:rPr>
            </w:pPr>
            <w:r w:rsidRPr="00DE5664">
              <w:rPr>
                <w:szCs w:val="20"/>
              </w:rPr>
              <w:t>There should be transparency about the decisions made.</w:t>
            </w:r>
          </w:p>
          <w:p w14:paraId="31C62B81" w14:textId="77777777" w:rsidR="00571F5E" w:rsidRDefault="00571F5E" w:rsidP="00571F5E">
            <w:pPr>
              <w:pStyle w:val="TableParagraph"/>
              <w:spacing w:line="259" w:lineRule="auto"/>
              <w:ind w:right="163"/>
              <w:rPr>
                <w:szCs w:val="20"/>
              </w:rPr>
            </w:pPr>
          </w:p>
          <w:p w14:paraId="733FDB51" w14:textId="236D4393" w:rsidR="002D73DB" w:rsidRPr="00571F5E" w:rsidRDefault="008379E8" w:rsidP="00571F5E">
            <w:pPr>
              <w:pStyle w:val="TableParagraph"/>
              <w:spacing w:line="259" w:lineRule="auto"/>
              <w:ind w:right="163"/>
              <w:rPr>
                <w:szCs w:val="20"/>
              </w:rPr>
            </w:pPr>
            <w:r w:rsidRPr="00DE5664">
              <w:rPr>
                <w:szCs w:val="20"/>
              </w:rPr>
              <w:t>There should be partnership cooperation to address wellbeing issues of which abuse/neglect is one such issue.</w:t>
            </w:r>
          </w:p>
        </w:tc>
        <w:tc>
          <w:tcPr>
            <w:tcW w:w="4111" w:type="dxa"/>
          </w:tcPr>
          <w:p w14:paraId="733FDB52" w14:textId="77777777" w:rsidR="002D73DB" w:rsidRPr="00DE5664" w:rsidRDefault="008379E8">
            <w:pPr>
              <w:pStyle w:val="TableParagraph"/>
              <w:ind w:right="130"/>
              <w:rPr>
                <w:szCs w:val="20"/>
              </w:rPr>
            </w:pPr>
            <w:r w:rsidRPr="00DE5664">
              <w:rPr>
                <w:szCs w:val="20"/>
              </w:rPr>
              <w:t>Records of the rationale for decision making include reference to the six statutory safeguarding adults principles and other core principles.</w:t>
            </w:r>
          </w:p>
          <w:p w14:paraId="733FDB53" w14:textId="77777777" w:rsidR="002D73DB" w:rsidRPr="00DE5664" w:rsidRDefault="002D73DB">
            <w:pPr>
              <w:pStyle w:val="TableParagraph"/>
              <w:ind w:left="0"/>
              <w:rPr>
                <w:szCs w:val="20"/>
              </w:rPr>
            </w:pPr>
          </w:p>
          <w:p w14:paraId="733FDB54" w14:textId="77777777" w:rsidR="002D73DB" w:rsidRPr="00DE5664" w:rsidRDefault="008379E8">
            <w:pPr>
              <w:pStyle w:val="TableParagraph"/>
              <w:ind w:right="397"/>
              <w:rPr>
                <w:szCs w:val="20"/>
              </w:rPr>
            </w:pPr>
            <w:r w:rsidRPr="00DE5664">
              <w:rPr>
                <w:szCs w:val="20"/>
              </w:rPr>
              <w:t>Establish the wishes and views of the adult/their representative.</w:t>
            </w:r>
          </w:p>
          <w:p w14:paraId="733FDB55" w14:textId="77777777" w:rsidR="002D73DB" w:rsidRPr="00DE5664" w:rsidRDefault="008379E8">
            <w:pPr>
              <w:pStyle w:val="TableParagraph"/>
              <w:ind w:right="197"/>
              <w:rPr>
                <w:i/>
                <w:szCs w:val="20"/>
              </w:rPr>
            </w:pPr>
            <w:r w:rsidRPr="00DE5664">
              <w:rPr>
                <w:i/>
                <w:szCs w:val="20"/>
              </w:rPr>
              <w:t>Does the adult want a safeguarding concern to be raised?</w:t>
            </w:r>
          </w:p>
          <w:p w14:paraId="733FDB56" w14:textId="77777777" w:rsidR="002D73DB" w:rsidRPr="00DE5664" w:rsidRDefault="008379E8">
            <w:pPr>
              <w:pStyle w:val="TableParagraph"/>
              <w:ind w:right="1331"/>
              <w:rPr>
                <w:szCs w:val="20"/>
              </w:rPr>
            </w:pPr>
            <w:r w:rsidRPr="00DE5664">
              <w:rPr>
                <w:szCs w:val="20"/>
              </w:rPr>
              <w:t>Consider the need for an independent advocate.</w:t>
            </w:r>
          </w:p>
          <w:p w14:paraId="733FDB57" w14:textId="77777777" w:rsidR="002D73DB" w:rsidRPr="00DE5664" w:rsidRDefault="002D73DB">
            <w:pPr>
              <w:pStyle w:val="TableParagraph"/>
              <w:spacing w:before="1"/>
              <w:ind w:left="0"/>
              <w:rPr>
                <w:szCs w:val="20"/>
              </w:rPr>
            </w:pPr>
          </w:p>
          <w:p w14:paraId="733FDB58" w14:textId="77777777" w:rsidR="002D73DB" w:rsidRPr="00DE5664" w:rsidRDefault="008379E8">
            <w:pPr>
              <w:pStyle w:val="TableParagraph"/>
              <w:ind w:right="184"/>
              <w:rPr>
                <w:szCs w:val="20"/>
              </w:rPr>
            </w:pPr>
            <w:r w:rsidRPr="00DE5664">
              <w:rPr>
                <w:szCs w:val="20"/>
              </w:rPr>
              <w:t>However, if someone declines safeguarding support, there is still a duty to consider how to reduce or manage risk.</w:t>
            </w:r>
          </w:p>
          <w:p w14:paraId="733FDB59" w14:textId="77777777" w:rsidR="002D73DB" w:rsidRPr="00DE5664" w:rsidRDefault="002D73DB">
            <w:pPr>
              <w:pStyle w:val="TableParagraph"/>
              <w:ind w:left="0"/>
              <w:rPr>
                <w:szCs w:val="20"/>
              </w:rPr>
            </w:pPr>
          </w:p>
          <w:p w14:paraId="733FDB5A" w14:textId="77777777" w:rsidR="002D73DB" w:rsidRDefault="008379E8">
            <w:pPr>
              <w:pStyle w:val="TableParagraph"/>
              <w:ind w:right="317"/>
              <w:rPr>
                <w:sz w:val="24"/>
              </w:rPr>
            </w:pPr>
            <w:r w:rsidRPr="00DE5664">
              <w:rPr>
                <w:szCs w:val="20"/>
              </w:rPr>
              <w:t>Those who have raised concerns should receive feedback about the decisions made (consistent with data protection legislation).</w:t>
            </w:r>
          </w:p>
        </w:tc>
      </w:tr>
    </w:tbl>
    <w:p w14:paraId="733FDB5C" w14:textId="77777777" w:rsidR="002D73DB" w:rsidRDefault="002D73DB">
      <w:pPr>
        <w:pStyle w:val="BodyText"/>
        <w:rPr>
          <w:sz w:val="20"/>
        </w:rPr>
      </w:pPr>
    </w:p>
    <w:p w14:paraId="733FDB5D" w14:textId="77777777" w:rsidR="002D73DB" w:rsidRDefault="002D73DB">
      <w:pPr>
        <w:pStyle w:val="BodyText"/>
        <w:rPr>
          <w:sz w:val="20"/>
        </w:rPr>
      </w:pPr>
    </w:p>
    <w:p w14:paraId="733FDB5E" w14:textId="04505087" w:rsidR="002D73DB" w:rsidRDefault="00115C34">
      <w:pPr>
        <w:pStyle w:val="BodyText"/>
        <w:rPr>
          <w:sz w:val="29"/>
        </w:rPr>
      </w:pPr>
      <w:r>
        <w:rPr>
          <w:noProof/>
        </w:rPr>
        <mc:AlternateContent>
          <mc:Choice Requires="wps">
            <w:drawing>
              <wp:anchor distT="0" distB="0" distL="0" distR="0" simplePos="0" relativeHeight="487589376" behindDoc="1" locked="0" layoutInCell="1" allowOverlap="1" wp14:anchorId="733FDBA3" wp14:editId="4025C701">
                <wp:simplePos x="0" y="0"/>
                <wp:positionH relativeFrom="page">
                  <wp:posOffset>914400</wp:posOffset>
                </wp:positionH>
                <wp:positionV relativeFrom="paragraph">
                  <wp:posOffset>236855</wp:posOffset>
                </wp:positionV>
                <wp:extent cx="1828800" cy="889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86201" id="Rectangle 4" o:spid="_x0000_s1026" style="position:absolute;margin-left:1in;margin-top:18.6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" fillcolor="black" stroked="f">
                <w10:wrap type="topAndBottom" anchorx="page"/>
              </v:rect>
            </w:pict>
          </mc:Fallback>
        </mc:AlternateContent>
      </w:r>
    </w:p>
    <w:p w14:paraId="733FDB5F" w14:textId="77777777" w:rsidR="002D73DB" w:rsidRDefault="008379E8">
      <w:pPr>
        <w:pStyle w:val="BodyText"/>
        <w:spacing w:before="67"/>
        <w:ind w:left="120" w:right="766"/>
      </w:pPr>
      <w:r>
        <w:rPr>
          <w:position w:val="6"/>
          <w:sz w:val="12"/>
        </w:rPr>
        <w:t xml:space="preserve">6 </w:t>
      </w:r>
      <w:r>
        <w:t>Principles referred to here include: Human Rights Act (1998) principles; the six statutory principles for safeguarding adults, alongside Making Safeguarding Personal (Care and Support Statutory Guidance, 2020 14.13-14.15) and the five core principles of the Mental Capacity Act, 2005. (see section 3 of this framework, below)</w:t>
      </w:r>
    </w:p>
    <w:p w14:paraId="733FDB60" w14:textId="77777777" w:rsidR="002D73DB" w:rsidRDefault="008379E8">
      <w:pPr>
        <w:pStyle w:val="BodyText"/>
        <w:spacing w:line="206" w:lineRule="exact"/>
        <w:ind w:left="120"/>
      </w:pPr>
      <w:r>
        <w:rPr>
          <w:position w:val="6"/>
          <w:sz w:val="12"/>
        </w:rPr>
        <w:t xml:space="preserve">7 </w:t>
      </w:r>
      <w:r>
        <w:t>Section 1, Care Act (2014); Care and Support statutory Guidance, para 1.1, DHSC, 2020</w:t>
      </w:r>
    </w:p>
    <w:p w14:paraId="733FDB61" w14:textId="77777777" w:rsidR="002D73DB" w:rsidRDefault="008379E8">
      <w:pPr>
        <w:spacing w:line="209" w:lineRule="exact"/>
        <w:ind w:left="120"/>
        <w:rPr>
          <w:b/>
          <w:sz w:val="18"/>
        </w:rPr>
      </w:pPr>
      <w:r>
        <w:rPr>
          <w:position w:val="6"/>
          <w:sz w:val="12"/>
        </w:rPr>
        <w:t xml:space="preserve">8 </w:t>
      </w:r>
      <w:r>
        <w:rPr>
          <w:sz w:val="18"/>
        </w:rPr>
        <w:t xml:space="preserve">Paragraph 14.13, Care and Support Statutory Guidance, DHSC, 2020 – </w:t>
      </w:r>
      <w:r>
        <w:rPr>
          <w:b/>
          <w:sz w:val="18"/>
        </w:rPr>
        <w:t xml:space="preserve">Empowerment, Prevention, Proportionality, Protection, Partnership </w:t>
      </w:r>
      <w:r>
        <w:rPr>
          <w:sz w:val="18"/>
        </w:rPr>
        <w:t xml:space="preserve">and </w:t>
      </w:r>
      <w:r>
        <w:rPr>
          <w:b/>
          <w:sz w:val="18"/>
        </w:rPr>
        <w:t>Accountability.</w:t>
      </w:r>
    </w:p>
    <w:p w14:paraId="733FDB62" w14:textId="77777777" w:rsidR="002D73DB" w:rsidRDefault="002D73DB">
      <w:pPr>
        <w:spacing w:line="209" w:lineRule="exact"/>
        <w:rPr>
          <w:sz w:val="18"/>
        </w:rPr>
        <w:sectPr w:rsidR="002D73DB">
          <w:pgSz w:w="16840" w:h="11910" w:orient="landscape"/>
          <w:pgMar w:top="1100" w:right="740" w:bottom="820" w:left="1320" w:header="0" w:footer="633" w:gutter="0"/>
          <w:cols w:space="720"/>
        </w:sectPr>
      </w:pPr>
    </w:p>
    <w:p w14:paraId="733FDB63" w14:textId="77777777" w:rsidR="002D73DB" w:rsidRDefault="002D73DB">
      <w:pPr>
        <w:pStyle w:val="BodyText"/>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1"/>
        <w:gridCol w:w="3137"/>
        <w:gridCol w:w="3994"/>
        <w:gridCol w:w="4135"/>
      </w:tblGrid>
      <w:tr w:rsidR="002D73DB" w14:paraId="733FDB68" w14:textId="77777777">
        <w:trPr>
          <w:trHeight w:val="1120"/>
        </w:trPr>
        <w:tc>
          <w:tcPr>
            <w:tcW w:w="3281" w:type="dxa"/>
          </w:tcPr>
          <w:p w14:paraId="733FDB64" w14:textId="77777777" w:rsidR="002D73DB" w:rsidRDefault="008379E8">
            <w:pPr>
              <w:pStyle w:val="TableParagraph"/>
              <w:spacing w:line="270" w:lineRule="atLeast"/>
              <w:ind w:left="107" w:right="410"/>
              <w:rPr>
                <w:b/>
                <w:sz w:val="24"/>
              </w:rPr>
            </w:pPr>
            <w:r>
              <w:rPr>
                <w:b/>
                <w:sz w:val="24"/>
              </w:rPr>
              <w:t>Key determinants for making decisions about potential safeguarding concerns</w:t>
            </w:r>
          </w:p>
        </w:tc>
        <w:tc>
          <w:tcPr>
            <w:tcW w:w="3137" w:type="dxa"/>
          </w:tcPr>
          <w:p w14:paraId="733FDB65" w14:textId="77777777" w:rsidR="002D73DB" w:rsidRDefault="008379E8">
            <w:pPr>
              <w:pStyle w:val="TableParagraph"/>
              <w:ind w:right="212"/>
              <w:rPr>
                <w:b/>
                <w:sz w:val="24"/>
              </w:rPr>
            </w:pPr>
            <w:r>
              <w:rPr>
                <w:b/>
                <w:sz w:val="24"/>
              </w:rPr>
              <w:t>Key aspects of the underpinning legislation and guidance</w:t>
            </w:r>
          </w:p>
        </w:tc>
        <w:tc>
          <w:tcPr>
            <w:tcW w:w="3994" w:type="dxa"/>
          </w:tcPr>
          <w:p w14:paraId="733FDB66" w14:textId="77777777" w:rsidR="002D73DB" w:rsidRDefault="008379E8">
            <w:pPr>
              <w:pStyle w:val="TableParagraph"/>
              <w:rPr>
                <w:b/>
                <w:sz w:val="24"/>
              </w:rPr>
            </w:pPr>
            <w:r>
              <w:rPr>
                <w:b/>
                <w:sz w:val="24"/>
              </w:rPr>
              <w:t>Key considerations</w:t>
            </w:r>
          </w:p>
        </w:tc>
        <w:tc>
          <w:tcPr>
            <w:tcW w:w="4135" w:type="dxa"/>
          </w:tcPr>
          <w:p w14:paraId="733FDB67" w14:textId="77777777" w:rsidR="002D73DB" w:rsidRDefault="008379E8">
            <w:pPr>
              <w:pStyle w:val="TableParagraph"/>
              <w:ind w:left="109"/>
              <w:rPr>
                <w:b/>
                <w:sz w:val="24"/>
              </w:rPr>
            </w:pPr>
            <w:r>
              <w:rPr>
                <w:b/>
                <w:sz w:val="24"/>
              </w:rPr>
              <w:t>Key actions</w:t>
            </w:r>
          </w:p>
        </w:tc>
      </w:tr>
      <w:tr w:rsidR="002D73DB" w14:paraId="733FDB73" w14:textId="77777777">
        <w:trPr>
          <w:trHeight w:val="5076"/>
        </w:trPr>
        <w:tc>
          <w:tcPr>
            <w:tcW w:w="3281" w:type="dxa"/>
          </w:tcPr>
          <w:p w14:paraId="733FDB69" w14:textId="2430960F" w:rsidR="002D73DB" w:rsidRDefault="008379E8">
            <w:pPr>
              <w:pStyle w:val="TableParagraph"/>
              <w:spacing w:line="256" w:lineRule="auto"/>
              <w:ind w:left="489" w:right="241" w:hanging="361"/>
              <w:rPr>
                <w:b/>
                <w:sz w:val="24"/>
              </w:rPr>
            </w:pPr>
            <w:r w:rsidRPr="00DE5664">
              <w:rPr>
                <w:b/>
                <w:szCs w:val="20"/>
              </w:rPr>
              <w:t xml:space="preserve">3. </w:t>
            </w:r>
            <w:r w:rsidR="00614C3F">
              <w:rPr>
                <w:b/>
                <w:szCs w:val="20"/>
              </w:rPr>
              <w:t xml:space="preserve">  </w:t>
            </w:r>
            <w:r w:rsidRPr="00DE5664">
              <w:rPr>
                <w:b/>
                <w:szCs w:val="20"/>
              </w:rPr>
              <w:t>Consider the broad range of safeguarding responsibilities where there is risk of abuse/neglect. This includes prevention and early intervention</w:t>
            </w:r>
          </w:p>
        </w:tc>
        <w:tc>
          <w:tcPr>
            <w:tcW w:w="3137" w:type="dxa"/>
          </w:tcPr>
          <w:p w14:paraId="3D698257" w14:textId="77777777" w:rsidR="00571F5E" w:rsidRDefault="008379E8" w:rsidP="00571F5E">
            <w:pPr>
              <w:pStyle w:val="TableParagraph"/>
              <w:spacing w:line="259" w:lineRule="auto"/>
              <w:ind w:right="138"/>
              <w:rPr>
                <w:szCs w:val="20"/>
              </w:rPr>
            </w:pPr>
            <w:r w:rsidRPr="00DE5664">
              <w:rPr>
                <w:szCs w:val="20"/>
              </w:rPr>
              <w:t xml:space="preserve">Care and Support Statutory Guidance </w:t>
            </w:r>
            <w:r w:rsidRPr="00DE5664">
              <w:rPr>
                <w:spacing w:val="-4"/>
                <w:szCs w:val="20"/>
              </w:rPr>
              <w:t xml:space="preserve">(DHSC </w:t>
            </w:r>
            <w:r w:rsidRPr="00DE5664">
              <w:rPr>
                <w:szCs w:val="20"/>
              </w:rPr>
              <w:t>2020)</w:t>
            </w:r>
          </w:p>
          <w:p w14:paraId="6767204E" w14:textId="77777777" w:rsidR="00571F5E" w:rsidRDefault="00571F5E" w:rsidP="00571F5E">
            <w:pPr>
              <w:pStyle w:val="TableParagraph"/>
              <w:spacing w:line="259" w:lineRule="auto"/>
              <w:ind w:right="138"/>
              <w:rPr>
                <w:szCs w:val="20"/>
              </w:rPr>
            </w:pPr>
          </w:p>
          <w:p w14:paraId="5D05D9EF" w14:textId="77777777" w:rsidR="00571F5E" w:rsidRDefault="008379E8" w:rsidP="00571F5E">
            <w:pPr>
              <w:pStyle w:val="TableParagraph"/>
              <w:spacing w:line="259" w:lineRule="auto"/>
              <w:ind w:right="138"/>
              <w:rPr>
                <w:szCs w:val="20"/>
              </w:rPr>
            </w:pPr>
            <w:r w:rsidRPr="00DE5664">
              <w:rPr>
                <w:szCs w:val="20"/>
              </w:rPr>
              <w:t>Chapter 2</w:t>
            </w:r>
          </w:p>
          <w:p w14:paraId="7996EF00" w14:textId="77777777" w:rsidR="00571F5E" w:rsidRDefault="00571F5E" w:rsidP="00571F5E">
            <w:pPr>
              <w:pStyle w:val="TableParagraph"/>
              <w:spacing w:line="259" w:lineRule="auto"/>
              <w:ind w:right="138"/>
              <w:rPr>
                <w:szCs w:val="20"/>
              </w:rPr>
            </w:pPr>
          </w:p>
          <w:p w14:paraId="733FDB6D" w14:textId="6EA1AA39" w:rsidR="002D73DB" w:rsidRPr="00DE5664" w:rsidRDefault="008379E8" w:rsidP="00571F5E">
            <w:pPr>
              <w:pStyle w:val="TableParagraph"/>
              <w:spacing w:line="259" w:lineRule="auto"/>
              <w:ind w:right="138"/>
              <w:rPr>
                <w:szCs w:val="20"/>
              </w:rPr>
            </w:pPr>
            <w:r w:rsidRPr="00DE5664">
              <w:rPr>
                <w:szCs w:val="20"/>
              </w:rPr>
              <w:t>Chapter 14: 14.7</w:t>
            </w:r>
            <w:r w:rsidR="000C27D8">
              <w:rPr>
                <w:szCs w:val="20"/>
              </w:rPr>
              <w:t xml:space="preserve">, </w:t>
            </w:r>
            <w:r w:rsidRPr="00DE5664">
              <w:rPr>
                <w:szCs w:val="20"/>
              </w:rPr>
              <w:t>14.</w:t>
            </w:r>
            <w:r w:rsidR="000C27D8">
              <w:rPr>
                <w:szCs w:val="20"/>
              </w:rPr>
              <w:t xml:space="preserve">9, </w:t>
            </w:r>
            <w:r w:rsidRPr="00DE5664">
              <w:rPr>
                <w:szCs w:val="20"/>
              </w:rPr>
              <w:t>14.11</w:t>
            </w:r>
          </w:p>
        </w:tc>
        <w:tc>
          <w:tcPr>
            <w:tcW w:w="3994" w:type="dxa"/>
          </w:tcPr>
          <w:p w14:paraId="346C5D27" w14:textId="77777777" w:rsidR="00571F5E" w:rsidRDefault="008379E8" w:rsidP="00571F5E">
            <w:pPr>
              <w:pStyle w:val="TableParagraph"/>
              <w:spacing w:line="261" w:lineRule="auto"/>
              <w:ind w:right="200"/>
              <w:rPr>
                <w:szCs w:val="20"/>
              </w:rPr>
            </w:pPr>
            <w:r w:rsidRPr="00DE5664">
              <w:rPr>
                <w:szCs w:val="20"/>
              </w:rPr>
              <w:t xml:space="preserve">A safeguarding concern can relate to </w:t>
            </w:r>
            <w:r w:rsidRPr="00DE5664">
              <w:rPr>
                <w:i/>
                <w:szCs w:val="20"/>
              </w:rPr>
              <w:t xml:space="preserve">risk of </w:t>
            </w:r>
            <w:r w:rsidRPr="00DE5664">
              <w:rPr>
                <w:szCs w:val="20"/>
              </w:rPr>
              <w:t>abuse or neglect.</w:t>
            </w:r>
          </w:p>
          <w:p w14:paraId="44B40561" w14:textId="77777777" w:rsidR="00571F5E" w:rsidRDefault="00571F5E" w:rsidP="00571F5E">
            <w:pPr>
              <w:pStyle w:val="TableParagraph"/>
              <w:spacing w:line="261" w:lineRule="auto"/>
              <w:ind w:right="200"/>
              <w:rPr>
                <w:szCs w:val="20"/>
              </w:rPr>
            </w:pPr>
          </w:p>
          <w:p w14:paraId="1F08B236" w14:textId="77777777" w:rsidR="00571F5E" w:rsidRDefault="008379E8" w:rsidP="00571F5E">
            <w:pPr>
              <w:pStyle w:val="TableParagraph"/>
              <w:spacing w:line="261" w:lineRule="auto"/>
              <w:ind w:right="200"/>
              <w:rPr>
                <w:szCs w:val="20"/>
              </w:rPr>
            </w:pPr>
            <w:r w:rsidRPr="00DE5664">
              <w:rPr>
                <w:szCs w:val="20"/>
              </w:rPr>
              <w:t>There must be a focus on the prevention of abuse and neglect.</w:t>
            </w:r>
          </w:p>
          <w:p w14:paraId="20EF3505" w14:textId="77777777" w:rsidR="00571F5E" w:rsidRDefault="00571F5E" w:rsidP="00571F5E">
            <w:pPr>
              <w:pStyle w:val="TableParagraph"/>
              <w:spacing w:line="261" w:lineRule="auto"/>
              <w:ind w:right="200"/>
              <w:rPr>
                <w:szCs w:val="20"/>
              </w:rPr>
            </w:pPr>
          </w:p>
          <w:p w14:paraId="733FDB70" w14:textId="2BA9820F" w:rsidR="002D73DB" w:rsidRPr="00DE5664" w:rsidRDefault="008379E8" w:rsidP="00571F5E">
            <w:pPr>
              <w:pStyle w:val="TableParagraph"/>
              <w:spacing w:line="261" w:lineRule="auto"/>
              <w:ind w:right="200"/>
              <w:rPr>
                <w:szCs w:val="20"/>
              </w:rPr>
            </w:pPr>
            <w:r w:rsidRPr="00DE5664">
              <w:rPr>
                <w:szCs w:val="20"/>
              </w:rPr>
              <w:t>Formal local pathways with a focus on identifying and mitigating risk (in the form of multi-agency meetings, panels, forums) create a common framework that can be activated and used by any concerned organisation, they do not rely on adult safeguarding services to initiate actions or convene meetings.</w:t>
            </w:r>
          </w:p>
        </w:tc>
        <w:tc>
          <w:tcPr>
            <w:tcW w:w="4135" w:type="dxa"/>
          </w:tcPr>
          <w:p w14:paraId="20B82D56" w14:textId="77777777" w:rsidR="00571F5E" w:rsidRDefault="008379E8" w:rsidP="00571F5E">
            <w:pPr>
              <w:pStyle w:val="TableParagraph"/>
              <w:spacing w:line="259" w:lineRule="auto"/>
              <w:ind w:left="109" w:right="180"/>
              <w:rPr>
                <w:szCs w:val="20"/>
              </w:rPr>
            </w:pPr>
            <w:r w:rsidRPr="00DE5664">
              <w:rPr>
                <w:szCs w:val="20"/>
              </w:rPr>
              <w:t xml:space="preserve">Joint responsibility and working alongside the person are at the heart of a partnership approach that seeks to address risk, </w:t>
            </w:r>
            <w:proofErr w:type="gramStart"/>
            <w:r w:rsidRPr="00DE5664">
              <w:rPr>
                <w:szCs w:val="20"/>
              </w:rPr>
              <w:t>whether or not</w:t>
            </w:r>
            <w:proofErr w:type="gramEnd"/>
            <w:r w:rsidRPr="00DE5664">
              <w:rPr>
                <w:szCs w:val="20"/>
              </w:rPr>
              <w:t xml:space="preserve"> as a safeguarding concern.</w:t>
            </w:r>
          </w:p>
          <w:p w14:paraId="0088A99C" w14:textId="77777777" w:rsidR="00571F5E" w:rsidRDefault="00571F5E" w:rsidP="00571F5E">
            <w:pPr>
              <w:pStyle w:val="NoSpacing"/>
            </w:pPr>
          </w:p>
          <w:p w14:paraId="733FDB72" w14:textId="54B00A51" w:rsidR="002D73DB" w:rsidRPr="00571F5E" w:rsidRDefault="008379E8" w:rsidP="00571F5E">
            <w:pPr>
              <w:pStyle w:val="TableParagraph"/>
              <w:spacing w:line="259" w:lineRule="auto"/>
              <w:ind w:left="109" w:right="180"/>
              <w:rPr>
                <w:szCs w:val="20"/>
              </w:rPr>
            </w:pPr>
            <w:r w:rsidRPr="00DE5664">
              <w:rPr>
                <w:szCs w:val="20"/>
              </w:rPr>
              <w:t>Consider the range of possible responses that may contribute to keeping an individual safe and/or to an individual’s wellbeing</w:t>
            </w:r>
            <w:r>
              <w:rPr>
                <w:position w:val="8"/>
                <w:sz w:val="16"/>
              </w:rPr>
              <w:t>9</w:t>
            </w:r>
            <w:r>
              <w:rPr>
                <w:sz w:val="24"/>
              </w:rPr>
              <w:t>.</w:t>
            </w:r>
            <w:r w:rsidR="00F76C2B">
              <w:rPr>
                <w:sz w:val="24"/>
              </w:rPr>
              <w:t xml:space="preserve"> </w:t>
            </w:r>
            <w:r w:rsidRPr="00DE5664">
              <w:rPr>
                <w:szCs w:val="20"/>
              </w:rPr>
              <w:t>For example, there might be a need for an assessment of need for care and support (Section 9, Care Act, 2014) or a response from commissioners about quality of care issues, or multi- agency support for people experiencing domestic abuse or hate</w:t>
            </w:r>
            <w:r w:rsidRPr="00DE5664">
              <w:rPr>
                <w:spacing w:val="-1"/>
                <w:szCs w:val="20"/>
              </w:rPr>
              <w:t xml:space="preserve"> </w:t>
            </w:r>
            <w:r w:rsidRPr="00DE5664">
              <w:rPr>
                <w:szCs w:val="20"/>
              </w:rPr>
              <w:t>crime.</w:t>
            </w:r>
          </w:p>
        </w:tc>
      </w:tr>
    </w:tbl>
    <w:p w14:paraId="733FDB74" w14:textId="77777777" w:rsidR="002D73DB" w:rsidRDefault="002D73DB">
      <w:pPr>
        <w:pStyle w:val="BodyText"/>
        <w:rPr>
          <w:b/>
          <w:sz w:val="20"/>
        </w:rPr>
      </w:pPr>
    </w:p>
    <w:p w14:paraId="733FDB75" w14:textId="77777777" w:rsidR="002D73DB" w:rsidRDefault="002D73DB">
      <w:pPr>
        <w:pStyle w:val="BodyText"/>
        <w:rPr>
          <w:b/>
          <w:sz w:val="20"/>
        </w:rPr>
      </w:pPr>
    </w:p>
    <w:p w14:paraId="733FDB76" w14:textId="77777777" w:rsidR="002D73DB" w:rsidRDefault="002D73DB">
      <w:pPr>
        <w:pStyle w:val="BodyText"/>
        <w:rPr>
          <w:b/>
          <w:sz w:val="20"/>
        </w:rPr>
      </w:pPr>
    </w:p>
    <w:p w14:paraId="733FDB77" w14:textId="77777777" w:rsidR="002D73DB" w:rsidRDefault="002D73DB">
      <w:pPr>
        <w:pStyle w:val="BodyText"/>
        <w:rPr>
          <w:b/>
          <w:sz w:val="20"/>
        </w:rPr>
      </w:pPr>
    </w:p>
    <w:p w14:paraId="733FDB78" w14:textId="768E2AD2" w:rsidR="002D73DB" w:rsidRDefault="00115C34">
      <w:pPr>
        <w:pStyle w:val="BodyText"/>
        <w:spacing w:before="3"/>
        <w:rPr>
          <w:b/>
          <w:sz w:val="17"/>
        </w:rPr>
      </w:pPr>
      <w:r>
        <w:rPr>
          <w:noProof/>
        </w:rPr>
        <mc:AlternateContent>
          <mc:Choice Requires="wps">
            <w:drawing>
              <wp:anchor distT="0" distB="0" distL="0" distR="0" simplePos="0" relativeHeight="487589888" behindDoc="1" locked="0" layoutInCell="1" allowOverlap="1" wp14:anchorId="733FDBA4" wp14:editId="72BA77AD">
                <wp:simplePos x="0" y="0"/>
                <wp:positionH relativeFrom="page">
                  <wp:posOffset>914400</wp:posOffset>
                </wp:positionH>
                <wp:positionV relativeFrom="paragraph">
                  <wp:posOffset>150495</wp:posOffset>
                </wp:positionV>
                <wp:extent cx="1828800"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AA01" id="Rectangle 3" o:spid="_x0000_s1026" style="position:absolute;margin-left:1in;margin-top:11.8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Nj+gEAANk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" fillcolor="black" stroked="f">
                <w10:wrap type="topAndBottom" anchorx="page"/>
              </v:rect>
            </w:pict>
          </mc:Fallback>
        </mc:AlternateContent>
      </w:r>
    </w:p>
    <w:p w14:paraId="733FDB79" w14:textId="77777777" w:rsidR="002D73DB" w:rsidRDefault="008379E8">
      <w:pPr>
        <w:pStyle w:val="BodyText"/>
        <w:spacing w:before="67"/>
        <w:ind w:left="120"/>
      </w:pPr>
      <w:r>
        <w:rPr>
          <w:position w:val="6"/>
          <w:sz w:val="12"/>
        </w:rPr>
        <w:t xml:space="preserve">9 </w:t>
      </w:r>
      <w:r>
        <w:t>14.9 Care and Support Statutory Guidance (DHSC, 2020) Safeguarding is not a substitute for:</w:t>
      </w:r>
    </w:p>
    <w:p w14:paraId="733FDB7A" w14:textId="77777777" w:rsidR="002D73DB" w:rsidRDefault="008379E8">
      <w:pPr>
        <w:pStyle w:val="ListParagraph"/>
        <w:numPr>
          <w:ilvl w:val="0"/>
          <w:numId w:val="1"/>
        </w:numPr>
        <w:tabs>
          <w:tab w:val="left" w:pos="840"/>
          <w:tab w:val="left" w:pos="841"/>
        </w:tabs>
        <w:spacing w:before="1" w:line="243" w:lineRule="exact"/>
        <w:ind w:hanging="361"/>
        <w:rPr>
          <w:sz w:val="18"/>
        </w:rPr>
      </w:pPr>
      <w:r>
        <w:rPr>
          <w:sz w:val="18"/>
        </w:rPr>
        <w:t>providers’ responsibilities to provide safe and high quality care and</w:t>
      </w:r>
      <w:r>
        <w:rPr>
          <w:spacing w:val="-8"/>
          <w:sz w:val="18"/>
        </w:rPr>
        <w:t xml:space="preserve"> </w:t>
      </w:r>
      <w:r>
        <w:rPr>
          <w:sz w:val="18"/>
        </w:rPr>
        <w:t>support</w:t>
      </w:r>
    </w:p>
    <w:p w14:paraId="733FDB7B" w14:textId="77777777" w:rsidR="002D73DB" w:rsidRDefault="008379E8">
      <w:pPr>
        <w:pStyle w:val="ListParagraph"/>
        <w:numPr>
          <w:ilvl w:val="0"/>
          <w:numId w:val="1"/>
        </w:numPr>
        <w:tabs>
          <w:tab w:val="left" w:pos="840"/>
          <w:tab w:val="left" w:pos="841"/>
        </w:tabs>
        <w:spacing w:line="239" w:lineRule="exact"/>
        <w:ind w:hanging="361"/>
        <w:rPr>
          <w:sz w:val="18"/>
        </w:rPr>
      </w:pPr>
      <w:r>
        <w:rPr>
          <w:sz w:val="18"/>
        </w:rPr>
        <w:t>commissioners regularly assuring themselves of the safety and effectiveness of commissioned</w:t>
      </w:r>
      <w:r>
        <w:rPr>
          <w:spacing w:val="-10"/>
          <w:sz w:val="18"/>
        </w:rPr>
        <w:t xml:space="preserve"> </w:t>
      </w:r>
      <w:r>
        <w:rPr>
          <w:sz w:val="18"/>
        </w:rPr>
        <w:t>services</w:t>
      </w:r>
    </w:p>
    <w:p w14:paraId="733FDB7C" w14:textId="77777777" w:rsidR="002D73DB" w:rsidRDefault="008379E8">
      <w:pPr>
        <w:pStyle w:val="ListParagraph"/>
        <w:numPr>
          <w:ilvl w:val="0"/>
          <w:numId w:val="1"/>
        </w:numPr>
        <w:tabs>
          <w:tab w:val="left" w:pos="840"/>
          <w:tab w:val="left" w:pos="841"/>
        </w:tabs>
        <w:spacing w:line="239" w:lineRule="exact"/>
        <w:ind w:hanging="361"/>
        <w:rPr>
          <w:sz w:val="18"/>
        </w:rPr>
      </w:pPr>
      <w:r>
        <w:rPr>
          <w:sz w:val="18"/>
        </w:rPr>
        <w:t>the Care Quality Commission (CQC) ensuring that regulated providers comply with the fundamental standards of care or by taking enforcement</w:t>
      </w:r>
      <w:r>
        <w:rPr>
          <w:spacing w:val="-18"/>
          <w:sz w:val="18"/>
        </w:rPr>
        <w:t xml:space="preserve"> </w:t>
      </w:r>
      <w:r>
        <w:rPr>
          <w:sz w:val="18"/>
        </w:rPr>
        <w:t>action</w:t>
      </w:r>
    </w:p>
    <w:p w14:paraId="733FDB7D" w14:textId="77777777" w:rsidR="002D73DB" w:rsidRDefault="008379E8">
      <w:pPr>
        <w:pStyle w:val="ListParagraph"/>
        <w:numPr>
          <w:ilvl w:val="0"/>
          <w:numId w:val="1"/>
        </w:numPr>
        <w:tabs>
          <w:tab w:val="left" w:pos="840"/>
          <w:tab w:val="left" w:pos="841"/>
        </w:tabs>
        <w:spacing w:line="242" w:lineRule="exact"/>
        <w:ind w:hanging="361"/>
        <w:rPr>
          <w:sz w:val="18"/>
        </w:rPr>
      </w:pPr>
      <w:r>
        <w:rPr>
          <w:sz w:val="18"/>
        </w:rPr>
        <w:t>the core duties of the police to prevent and detect crime and protect life and</w:t>
      </w:r>
      <w:r>
        <w:rPr>
          <w:spacing w:val="-10"/>
          <w:sz w:val="18"/>
        </w:rPr>
        <w:t xml:space="preserve"> </w:t>
      </w:r>
      <w:r>
        <w:rPr>
          <w:sz w:val="18"/>
        </w:rPr>
        <w:t>property</w:t>
      </w:r>
    </w:p>
    <w:p w14:paraId="733FDB7E" w14:textId="77777777" w:rsidR="002D73DB" w:rsidRDefault="002D73DB">
      <w:pPr>
        <w:spacing w:line="242" w:lineRule="exact"/>
        <w:rPr>
          <w:sz w:val="18"/>
        </w:rPr>
        <w:sectPr w:rsidR="002D73DB">
          <w:pgSz w:w="16840" w:h="11910" w:orient="landscape"/>
          <w:pgMar w:top="1100" w:right="740" w:bottom="820" w:left="1320" w:header="0" w:footer="633" w:gutter="0"/>
          <w:cols w:space="720"/>
        </w:sectPr>
      </w:pPr>
    </w:p>
    <w:p w14:paraId="733FDB7F" w14:textId="77777777" w:rsidR="002D73DB" w:rsidRDefault="002D73DB">
      <w:pPr>
        <w:pStyle w:val="BodyText"/>
        <w:rPr>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gridCol w:w="3168"/>
        <w:gridCol w:w="4032"/>
        <w:gridCol w:w="4034"/>
      </w:tblGrid>
      <w:tr w:rsidR="002D73DB" w14:paraId="733FDB84" w14:textId="77777777">
        <w:trPr>
          <w:trHeight w:val="1120"/>
        </w:trPr>
        <w:tc>
          <w:tcPr>
            <w:tcW w:w="3312" w:type="dxa"/>
          </w:tcPr>
          <w:p w14:paraId="733FDB80" w14:textId="77777777" w:rsidR="002D73DB" w:rsidRDefault="008379E8">
            <w:pPr>
              <w:pStyle w:val="TableParagraph"/>
              <w:spacing w:line="270" w:lineRule="atLeast"/>
              <w:ind w:left="107" w:right="441"/>
              <w:rPr>
                <w:b/>
                <w:sz w:val="24"/>
              </w:rPr>
            </w:pPr>
            <w:r>
              <w:rPr>
                <w:b/>
                <w:sz w:val="24"/>
              </w:rPr>
              <w:t>Key determinants for making decisions about potential safeguarding concerns</w:t>
            </w:r>
          </w:p>
        </w:tc>
        <w:tc>
          <w:tcPr>
            <w:tcW w:w="3168" w:type="dxa"/>
          </w:tcPr>
          <w:p w14:paraId="733FDB81" w14:textId="77777777" w:rsidR="002D73DB" w:rsidRDefault="008379E8">
            <w:pPr>
              <w:pStyle w:val="TableParagraph"/>
              <w:ind w:right="243"/>
              <w:rPr>
                <w:b/>
                <w:sz w:val="24"/>
              </w:rPr>
            </w:pPr>
            <w:r>
              <w:rPr>
                <w:b/>
                <w:sz w:val="24"/>
              </w:rPr>
              <w:t>Key aspects of the underpinning legislation and guidance</w:t>
            </w:r>
          </w:p>
        </w:tc>
        <w:tc>
          <w:tcPr>
            <w:tcW w:w="4032" w:type="dxa"/>
          </w:tcPr>
          <w:p w14:paraId="733FDB82" w14:textId="77777777" w:rsidR="002D73DB" w:rsidRDefault="008379E8">
            <w:pPr>
              <w:pStyle w:val="TableParagraph"/>
              <w:rPr>
                <w:b/>
                <w:sz w:val="24"/>
              </w:rPr>
            </w:pPr>
            <w:r>
              <w:rPr>
                <w:b/>
                <w:sz w:val="24"/>
              </w:rPr>
              <w:t>Key considerations</w:t>
            </w:r>
          </w:p>
        </w:tc>
        <w:tc>
          <w:tcPr>
            <w:tcW w:w="4034" w:type="dxa"/>
          </w:tcPr>
          <w:p w14:paraId="733FDB83" w14:textId="77777777" w:rsidR="002D73DB" w:rsidRDefault="008379E8">
            <w:pPr>
              <w:pStyle w:val="TableParagraph"/>
              <w:ind w:left="109"/>
              <w:rPr>
                <w:b/>
                <w:sz w:val="24"/>
              </w:rPr>
            </w:pPr>
            <w:r>
              <w:rPr>
                <w:b/>
                <w:sz w:val="24"/>
              </w:rPr>
              <w:t>Key actions</w:t>
            </w:r>
          </w:p>
        </w:tc>
      </w:tr>
      <w:tr w:rsidR="002D73DB" w14:paraId="733FDB96" w14:textId="77777777">
        <w:trPr>
          <w:trHeight w:val="6457"/>
        </w:trPr>
        <w:tc>
          <w:tcPr>
            <w:tcW w:w="3312" w:type="dxa"/>
          </w:tcPr>
          <w:p w14:paraId="5D7B1A20" w14:textId="1B2737B2" w:rsidR="00571F5E" w:rsidRDefault="008379E8" w:rsidP="00571F5E">
            <w:pPr>
              <w:pStyle w:val="TableParagraph"/>
              <w:numPr>
                <w:ilvl w:val="0"/>
                <w:numId w:val="6"/>
              </w:numPr>
              <w:spacing w:line="256" w:lineRule="auto"/>
              <w:ind w:left="574" w:right="81" w:hanging="425"/>
              <w:rPr>
                <w:b/>
              </w:rPr>
            </w:pPr>
            <w:r w:rsidRPr="00DE5664">
              <w:rPr>
                <w:b/>
              </w:rPr>
              <w:t>a) Decide what should be reported as a safeguarding concern in the Safeguarding Adults Collection (SAC)?</w:t>
            </w:r>
          </w:p>
          <w:p w14:paraId="4C4868E1" w14:textId="77777777" w:rsidR="00571F5E" w:rsidRPr="00571F5E" w:rsidRDefault="00571F5E" w:rsidP="00571F5E">
            <w:pPr>
              <w:pStyle w:val="NoSpacing"/>
            </w:pPr>
          </w:p>
          <w:p w14:paraId="733FDB86" w14:textId="52561AA1" w:rsidR="002D73DB" w:rsidRPr="00571F5E" w:rsidRDefault="008379E8" w:rsidP="00571F5E">
            <w:pPr>
              <w:pStyle w:val="TableParagraph"/>
              <w:spacing w:line="256" w:lineRule="auto"/>
              <w:ind w:right="81"/>
              <w:rPr>
                <w:b/>
              </w:rPr>
            </w:pPr>
            <w:r w:rsidRPr="00DE5664">
              <w:t xml:space="preserve">The framework supports a view that where the referring worker/organisation believes that the circumstances amount to a safeguarding concern because it appears that criteria a and b </w:t>
            </w:r>
            <w:r w:rsidR="00CA19CD">
              <w:t xml:space="preserve">of </w:t>
            </w:r>
            <w:r w:rsidR="00614C3F">
              <w:t>S</w:t>
            </w:r>
            <w:r w:rsidRPr="00DE5664">
              <w:t>42</w:t>
            </w:r>
            <w:r w:rsidR="00614C3F">
              <w:t xml:space="preserve"> </w:t>
            </w:r>
            <w:r w:rsidRPr="00DE5664">
              <w:t xml:space="preserve">(1) are met then, where the local authority agrees that there is a clear case set out to show this, it will </w:t>
            </w:r>
            <w:r w:rsidR="00CA19CD">
              <w:t xml:space="preserve">be </w:t>
            </w:r>
            <w:r w:rsidRPr="00DE5664">
              <w:t>report</w:t>
            </w:r>
            <w:r w:rsidR="00CA19CD">
              <w:t>ed</w:t>
            </w:r>
            <w:r w:rsidRPr="00DE5664">
              <w:t xml:space="preserve"> in the SAC as a safeguarding concern.</w:t>
            </w:r>
          </w:p>
          <w:p w14:paraId="733FDB87" w14:textId="77777777" w:rsidR="002D73DB" w:rsidRPr="00571F5E" w:rsidRDefault="002D73DB" w:rsidP="00571F5E">
            <w:pPr>
              <w:pStyle w:val="NoSpacing"/>
            </w:pPr>
          </w:p>
          <w:p w14:paraId="733FDB88" w14:textId="77777777" w:rsidR="002D73DB" w:rsidRDefault="008379E8">
            <w:pPr>
              <w:pStyle w:val="TableParagraph"/>
              <w:ind w:left="107" w:right="81"/>
              <w:rPr>
                <w:b/>
              </w:rPr>
            </w:pPr>
            <w:r w:rsidRPr="00DE5664">
              <w:rPr>
                <w:b/>
              </w:rPr>
              <w:t>b) Promote and develop local recording across organisations to support practice and its development.</w:t>
            </w:r>
          </w:p>
        </w:tc>
        <w:tc>
          <w:tcPr>
            <w:tcW w:w="3168" w:type="dxa"/>
          </w:tcPr>
          <w:p w14:paraId="40395889" w14:textId="77777777" w:rsidR="00571F5E" w:rsidRDefault="008379E8" w:rsidP="00571F5E">
            <w:pPr>
              <w:pStyle w:val="TableParagraph"/>
              <w:spacing w:line="256" w:lineRule="auto"/>
              <w:ind w:right="828"/>
              <w:rPr>
                <w:sz w:val="16"/>
              </w:rPr>
            </w:pPr>
            <w:r w:rsidRPr="00DE5664">
              <w:rPr>
                <w:szCs w:val="20"/>
              </w:rPr>
              <w:t xml:space="preserve">Section 42, Care Act </w:t>
            </w:r>
            <w:r w:rsidR="00614C3F">
              <w:rPr>
                <w:szCs w:val="20"/>
              </w:rPr>
              <w:t>(</w:t>
            </w:r>
            <w:r w:rsidRPr="00DE5664">
              <w:rPr>
                <w:szCs w:val="20"/>
              </w:rPr>
              <w:t>2014</w:t>
            </w:r>
            <w:r w:rsidR="00614C3F">
              <w:rPr>
                <w:szCs w:val="20"/>
              </w:rPr>
              <w:t>)</w:t>
            </w:r>
            <w:r>
              <w:rPr>
                <w:position w:val="8"/>
                <w:sz w:val="16"/>
              </w:rPr>
              <w:t>10</w:t>
            </w:r>
          </w:p>
          <w:p w14:paraId="5574C9AC" w14:textId="77777777" w:rsidR="00571F5E" w:rsidRDefault="00571F5E" w:rsidP="00571F5E">
            <w:pPr>
              <w:pStyle w:val="TableParagraph"/>
              <w:spacing w:line="256" w:lineRule="auto"/>
              <w:ind w:right="828"/>
              <w:rPr>
                <w:sz w:val="16"/>
              </w:rPr>
            </w:pPr>
          </w:p>
          <w:p w14:paraId="733FDB8A" w14:textId="73065842" w:rsidR="002D73DB" w:rsidRPr="00571F5E" w:rsidRDefault="008379E8" w:rsidP="00571F5E">
            <w:pPr>
              <w:pStyle w:val="TableParagraph"/>
              <w:spacing w:line="256" w:lineRule="auto"/>
              <w:ind w:right="221"/>
              <w:rPr>
                <w:sz w:val="16"/>
              </w:rPr>
            </w:pPr>
            <w:r w:rsidRPr="00DE5664">
              <w:rPr>
                <w:szCs w:val="20"/>
              </w:rPr>
              <w:t>Care and Support Statutory Guidance (DHSC 2020)</w:t>
            </w:r>
          </w:p>
          <w:p w14:paraId="733FDB8B" w14:textId="06E00640" w:rsidR="002D73DB" w:rsidRPr="00DE5664" w:rsidRDefault="008379E8">
            <w:pPr>
              <w:pStyle w:val="TableParagraph"/>
              <w:spacing w:line="275" w:lineRule="exact"/>
              <w:rPr>
                <w:szCs w:val="20"/>
              </w:rPr>
            </w:pPr>
            <w:r w:rsidRPr="00DE5664">
              <w:rPr>
                <w:szCs w:val="20"/>
              </w:rPr>
              <w:t>14.16, 14.17</w:t>
            </w:r>
          </w:p>
          <w:p w14:paraId="733FDB8C" w14:textId="77777777" w:rsidR="002D73DB" w:rsidRDefault="002D73DB">
            <w:pPr>
              <w:pStyle w:val="TableParagraph"/>
              <w:spacing w:before="11"/>
              <w:ind w:left="0"/>
              <w:rPr>
                <w:sz w:val="27"/>
              </w:rPr>
            </w:pPr>
          </w:p>
          <w:p w14:paraId="4B3A2C2B" w14:textId="77777777" w:rsidR="00571F5E" w:rsidRDefault="008379E8" w:rsidP="00571F5E">
            <w:pPr>
              <w:pStyle w:val="TableParagraph"/>
              <w:spacing w:line="259" w:lineRule="auto"/>
              <w:ind w:right="363"/>
              <w:rPr>
                <w:szCs w:val="20"/>
              </w:rPr>
            </w:pPr>
            <w:r w:rsidRPr="00DE5664">
              <w:rPr>
                <w:szCs w:val="20"/>
              </w:rPr>
              <w:t>Care and Support (Eligibility</w:t>
            </w:r>
            <w:r w:rsidR="00614C3F">
              <w:rPr>
                <w:szCs w:val="20"/>
              </w:rPr>
              <w:t xml:space="preserve"> </w:t>
            </w:r>
            <w:r w:rsidRPr="00DE5664">
              <w:rPr>
                <w:szCs w:val="20"/>
              </w:rPr>
              <w:t>Criteria) Regulations, 2014</w:t>
            </w:r>
          </w:p>
          <w:p w14:paraId="24181ACD" w14:textId="77777777" w:rsidR="00571F5E" w:rsidRDefault="00571F5E" w:rsidP="00571F5E">
            <w:pPr>
              <w:pStyle w:val="TableParagraph"/>
              <w:spacing w:line="259" w:lineRule="auto"/>
              <w:ind w:right="1113"/>
              <w:rPr>
                <w:szCs w:val="20"/>
              </w:rPr>
            </w:pPr>
          </w:p>
          <w:p w14:paraId="733FDB8E" w14:textId="11BD3E9F" w:rsidR="002D73DB" w:rsidRPr="00571F5E" w:rsidRDefault="006A42CD" w:rsidP="00571F5E">
            <w:pPr>
              <w:pStyle w:val="TableParagraph"/>
              <w:spacing w:line="259" w:lineRule="auto"/>
              <w:ind w:right="221"/>
              <w:rPr>
                <w:szCs w:val="20"/>
              </w:rPr>
            </w:pPr>
            <w:hyperlink r:id="rId27">
              <w:r w:rsidR="008379E8" w:rsidRPr="00DE5664">
                <w:rPr>
                  <w:color w:val="0462C1"/>
                  <w:szCs w:val="20"/>
                  <w:u w:val="single" w:color="0462C1"/>
                </w:rPr>
                <w:t>Guidance for completing</w:t>
              </w:r>
            </w:hyperlink>
            <w:r w:rsidR="008379E8" w:rsidRPr="00DE5664">
              <w:rPr>
                <w:color w:val="0462C1"/>
                <w:szCs w:val="20"/>
              </w:rPr>
              <w:t xml:space="preserve"> </w:t>
            </w:r>
            <w:hyperlink r:id="rId28">
              <w:r w:rsidR="008379E8" w:rsidRPr="00DE5664">
                <w:rPr>
                  <w:color w:val="0462C1"/>
                  <w:szCs w:val="20"/>
                  <w:u w:val="single" w:color="0462C1"/>
                </w:rPr>
                <w:t>the Safeguarding adults</w:t>
              </w:r>
            </w:hyperlink>
            <w:r w:rsidR="008379E8" w:rsidRPr="00DE5664">
              <w:rPr>
                <w:color w:val="0462C1"/>
                <w:szCs w:val="20"/>
              </w:rPr>
              <w:t xml:space="preserve"> </w:t>
            </w:r>
            <w:hyperlink r:id="rId29">
              <w:r w:rsidR="008379E8" w:rsidRPr="00DE5664">
                <w:rPr>
                  <w:color w:val="0462C1"/>
                  <w:szCs w:val="20"/>
                  <w:u w:val="single" w:color="0462C1"/>
                </w:rPr>
                <w:t>Collection (SAC)</w:t>
              </w:r>
              <w:r w:rsidR="008379E8" w:rsidRPr="00DE5664">
                <w:rPr>
                  <w:color w:val="0462C1"/>
                  <w:szCs w:val="20"/>
                </w:rPr>
                <w:t xml:space="preserve"> </w:t>
              </w:r>
            </w:hyperlink>
            <w:r w:rsidR="008379E8" w:rsidRPr="00DE5664">
              <w:rPr>
                <w:szCs w:val="20"/>
              </w:rPr>
              <w:t xml:space="preserve">, NHS Digital. (This will be further developed in light of the </w:t>
            </w:r>
            <w:hyperlink r:id="rId30">
              <w:r w:rsidR="008379E8" w:rsidRPr="00DE5664">
                <w:rPr>
                  <w:color w:val="0462C1"/>
                  <w:szCs w:val="20"/>
                  <w:u w:val="single" w:color="0462C1"/>
                </w:rPr>
                <w:t>safeguarding concerns</w:t>
              </w:r>
            </w:hyperlink>
            <w:r w:rsidR="008379E8" w:rsidRPr="00DE5664">
              <w:rPr>
                <w:color w:val="0462C1"/>
                <w:szCs w:val="20"/>
              </w:rPr>
              <w:t xml:space="preserve"> </w:t>
            </w:r>
            <w:hyperlink r:id="rId31">
              <w:r w:rsidR="008379E8" w:rsidRPr="00DE5664">
                <w:rPr>
                  <w:color w:val="0462C1"/>
                  <w:szCs w:val="20"/>
                  <w:u w:val="single" w:color="0462C1"/>
                </w:rPr>
                <w:t>framework</w:t>
              </w:r>
            </w:hyperlink>
            <w:r w:rsidR="00DE5664">
              <w:rPr>
                <w:color w:val="0462C1"/>
                <w:szCs w:val="20"/>
                <w:u w:val="single" w:color="0462C1"/>
              </w:rPr>
              <w:t>).</w:t>
            </w:r>
          </w:p>
        </w:tc>
        <w:tc>
          <w:tcPr>
            <w:tcW w:w="4032" w:type="dxa"/>
          </w:tcPr>
          <w:p w14:paraId="2C20042D" w14:textId="77777777" w:rsidR="00571F5E" w:rsidRDefault="008379E8" w:rsidP="00571F5E">
            <w:pPr>
              <w:pStyle w:val="TableParagraph"/>
              <w:spacing w:line="259" w:lineRule="auto"/>
              <w:ind w:right="105"/>
              <w:rPr>
                <w:szCs w:val="20"/>
              </w:rPr>
            </w:pPr>
            <w:r w:rsidRPr="00DE5664">
              <w:rPr>
                <w:szCs w:val="20"/>
              </w:rPr>
              <w:t xml:space="preserve">The SAC data will reflect the range of activity across sectors within the scope of safeguarding responsibilities (from the start of activity), including early intervention and prevention, </w:t>
            </w:r>
            <w:proofErr w:type="gramStart"/>
            <w:r w:rsidRPr="00DE5664">
              <w:rPr>
                <w:szCs w:val="20"/>
              </w:rPr>
              <w:t>whether or not</w:t>
            </w:r>
            <w:proofErr w:type="gramEnd"/>
            <w:r w:rsidRPr="00DE5664">
              <w:rPr>
                <w:szCs w:val="20"/>
              </w:rPr>
              <w:t xml:space="preserve"> concerns go on to be the subject of a safeguarding enquiry.</w:t>
            </w:r>
          </w:p>
          <w:p w14:paraId="1B301DC3" w14:textId="77777777" w:rsidR="00571F5E" w:rsidRDefault="00571F5E" w:rsidP="00571F5E">
            <w:pPr>
              <w:pStyle w:val="NoSpacing"/>
            </w:pPr>
          </w:p>
          <w:p w14:paraId="2D3B2F6F" w14:textId="77777777" w:rsidR="00571F5E" w:rsidRDefault="008379E8" w:rsidP="00571F5E">
            <w:pPr>
              <w:pStyle w:val="TableParagraph"/>
              <w:spacing w:line="259" w:lineRule="auto"/>
              <w:ind w:right="105"/>
              <w:rPr>
                <w:szCs w:val="20"/>
              </w:rPr>
            </w:pPr>
            <w:r w:rsidRPr="00DE5664">
              <w:rPr>
                <w:szCs w:val="20"/>
              </w:rPr>
              <w:t>Robust recording of decisions and the rationale for them is the means through which defensible decision making</w:t>
            </w:r>
            <w:r>
              <w:rPr>
                <w:rFonts w:ascii="Calibri"/>
                <w:position w:val="8"/>
                <w:sz w:val="16"/>
              </w:rPr>
              <w:t xml:space="preserve">11 </w:t>
            </w:r>
            <w:r w:rsidRPr="00DE5664">
              <w:rPr>
                <w:szCs w:val="20"/>
              </w:rPr>
              <w:t>can be worked through and evidenced. It supports practice development.</w:t>
            </w:r>
          </w:p>
          <w:p w14:paraId="1AFA5454" w14:textId="77777777" w:rsidR="00571F5E" w:rsidRDefault="00571F5E" w:rsidP="00571F5E">
            <w:pPr>
              <w:pStyle w:val="NoSpacing"/>
            </w:pPr>
          </w:p>
          <w:p w14:paraId="733FDB91" w14:textId="52978C9D" w:rsidR="002D73DB" w:rsidRPr="00571F5E" w:rsidRDefault="008379E8" w:rsidP="00571F5E">
            <w:pPr>
              <w:pStyle w:val="TableParagraph"/>
              <w:spacing w:line="259" w:lineRule="auto"/>
              <w:ind w:right="105"/>
              <w:rPr>
                <w:szCs w:val="20"/>
              </w:rPr>
            </w:pPr>
            <w:r w:rsidRPr="00DE5664">
              <w:rPr>
                <w:szCs w:val="20"/>
              </w:rPr>
              <w:t>The Safeguarding Adults Collection (SAC) data can be used as a ‘can opener’ and should be supplemented with other local information (such as audits, peer reviews).</w:t>
            </w:r>
          </w:p>
        </w:tc>
        <w:tc>
          <w:tcPr>
            <w:tcW w:w="4034" w:type="dxa"/>
          </w:tcPr>
          <w:p w14:paraId="118D7B72" w14:textId="77777777" w:rsidR="00571F5E" w:rsidRDefault="008379E8" w:rsidP="00571F5E">
            <w:pPr>
              <w:pStyle w:val="TableParagraph"/>
              <w:spacing w:line="259" w:lineRule="auto"/>
              <w:ind w:left="109" w:right="372"/>
              <w:rPr>
                <w:szCs w:val="20"/>
              </w:rPr>
            </w:pPr>
            <w:r w:rsidRPr="00DE5664">
              <w:rPr>
                <w:szCs w:val="20"/>
              </w:rPr>
              <w:t>Local authorities will report a safeguarding concern in the SAC where referrer and local authority agree S42(1) a and b are met.</w:t>
            </w:r>
          </w:p>
          <w:p w14:paraId="61029E18" w14:textId="77777777" w:rsidR="00571F5E" w:rsidRDefault="00571F5E" w:rsidP="00571F5E">
            <w:pPr>
              <w:pStyle w:val="NoSpacing"/>
            </w:pPr>
          </w:p>
          <w:p w14:paraId="0A836DEA" w14:textId="77777777" w:rsidR="00571F5E" w:rsidRDefault="008379E8" w:rsidP="00571F5E">
            <w:pPr>
              <w:pStyle w:val="TableParagraph"/>
              <w:spacing w:line="259" w:lineRule="auto"/>
              <w:ind w:left="109" w:right="372"/>
              <w:rPr>
                <w:szCs w:val="20"/>
              </w:rPr>
            </w:pPr>
            <w:r w:rsidRPr="00DE5664">
              <w:rPr>
                <w:szCs w:val="20"/>
              </w:rPr>
              <w:t>Clear recording of issues not pursued as a safeguarding concern facilitates identification of cumulative patterns. It helps identify organisations where support is needed in defining safeguarding concerns.</w:t>
            </w:r>
          </w:p>
          <w:p w14:paraId="2E778D01" w14:textId="77777777" w:rsidR="00571F5E" w:rsidRDefault="00571F5E" w:rsidP="00571F5E">
            <w:pPr>
              <w:pStyle w:val="NoSpacing"/>
            </w:pPr>
          </w:p>
          <w:p w14:paraId="47119992" w14:textId="77777777" w:rsidR="00571F5E" w:rsidRDefault="008379E8" w:rsidP="00571F5E">
            <w:pPr>
              <w:pStyle w:val="TableParagraph"/>
              <w:spacing w:line="259" w:lineRule="auto"/>
              <w:ind w:left="109" w:right="372"/>
              <w:rPr>
                <w:szCs w:val="20"/>
              </w:rPr>
            </w:pPr>
            <w:r w:rsidRPr="00DE5664">
              <w:rPr>
                <w:szCs w:val="20"/>
              </w:rPr>
              <w:t>All organisations should audit decision making, using recording and data to understand where organisations need support in defining safeguarding</w:t>
            </w:r>
            <w:r w:rsidRPr="00DE5664">
              <w:rPr>
                <w:spacing w:val="-7"/>
                <w:szCs w:val="20"/>
              </w:rPr>
              <w:t xml:space="preserve"> </w:t>
            </w:r>
            <w:r w:rsidRPr="00DE5664">
              <w:rPr>
                <w:szCs w:val="20"/>
              </w:rPr>
              <w:t>concerns.</w:t>
            </w:r>
          </w:p>
          <w:p w14:paraId="124D83F8" w14:textId="77777777" w:rsidR="00571F5E" w:rsidRDefault="00571F5E" w:rsidP="00571F5E">
            <w:pPr>
              <w:pStyle w:val="NoSpacing"/>
            </w:pPr>
          </w:p>
          <w:p w14:paraId="733FDB95" w14:textId="093D5E0B" w:rsidR="002D73DB" w:rsidRPr="00571F5E" w:rsidRDefault="008379E8" w:rsidP="00571F5E">
            <w:pPr>
              <w:pStyle w:val="TableParagraph"/>
              <w:spacing w:line="259" w:lineRule="auto"/>
              <w:ind w:left="109" w:right="372"/>
              <w:rPr>
                <w:szCs w:val="20"/>
              </w:rPr>
            </w:pPr>
            <w:r w:rsidRPr="00DE5664">
              <w:rPr>
                <w:szCs w:val="20"/>
              </w:rPr>
              <w:t>Safeguarding Adults Boards seek assurance on the quality of</w:t>
            </w:r>
            <w:r w:rsidRPr="00DE5664">
              <w:rPr>
                <w:spacing w:val="-15"/>
                <w:szCs w:val="20"/>
              </w:rPr>
              <w:t xml:space="preserve"> </w:t>
            </w:r>
            <w:r w:rsidRPr="00DE5664">
              <w:rPr>
                <w:szCs w:val="20"/>
              </w:rPr>
              <w:t>decision making across the</w:t>
            </w:r>
            <w:r w:rsidRPr="00DE5664">
              <w:rPr>
                <w:spacing w:val="-5"/>
                <w:szCs w:val="20"/>
              </w:rPr>
              <w:t xml:space="preserve"> </w:t>
            </w:r>
            <w:r w:rsidRPr="00DE5664">
              <w:rPr>
                <w:szCs w:val="20"/>
              </w:rPr>
              <w:t>partnerships.</w:t>
            </w:r>
          </w:p>
        </w:tc>
      </w:tr>
    </w:tbl>
    <w:p w14:paraId="733FDB97" w14:textId="77777777" w:rsidR="002D73DB" w:rsidRDefault="002D73DB">
      <w:pPr>
        <w:pStyle w:val="BodyText"/>
        <w:rPr>
          <w:sz w:val="20"/>
        </w:rPr>
      </w:pPr>
    </w:p>
    <w:p w14:paraId="733FDB98" w14:textId="25E6B340" w:rsidR="002D73DB" w:rsidRDefault="00115C34">
      <w:pPr>
        <w:pStyle w:val="BodyText"/>
        <w:spacing w:before="7"/>
        <w:rPr>
          <w:sz w:val="25"/>
        </w:rPr>
      </w:pPr>
      <w:r>
        <w:rPr>
          <w:noProof/>
        </w:rPr>
        <mc:AlternateContent>
          <mc:Choice Requires="wps">
            <w:drawing>
              <wp:anchor distT="0" distB="0" distL="0" distR="0" simplePos="0" relativeHeight="487590400" behindDoc="1" locked="0" layoutInCell="1" allowOverlap="1" wp14:anchorId="733FDBA5" wp14:editId="0E386E28">
                <wp:simplePos x="0" y="0"/>
                <wp:positionH relativeFrom="page">
                  <wp:posOffset>914400</wp:posOffset>
                </wp:positionH>
                <wp:positionV relativeFrom="paragraph">
                  <wp:posOffset>212090</wp:posOffset>
                </wp:positionV>
                <wp:extent cx="1828800" cy="889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F9E58" id="Rectangle 2" o:spid="_x0000_s1026" style="position:absolute;margin-left:1in;margin-top:16.7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V0+gEAANk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" fillcolor="black" stroked="f">
                <w10:wrap type="topAndBottom" anchorx="page"/>
              </v:rect>
            </w:pict>
          </mc:Fallback>
        </mc:AlternateContent>
      </w:r>
    </w:p>
    <w:p w14:paraId="733FDB99" w14:textId="77777777" w:rsidR="002D73DB" w:rsidRDefault="008379E8">
      <w:pPr>
        <w:pStyle w:val="BodyText"/>
        <w:spacing w:before="67" w:line="209" w:lineRule="exact"/>
        <w:ind w:left="120"/>
      </w:pPr>
      <w:r>
        <w:rPr>
          <w:position w:val="6"/>
          <w:sz w:val="12"/>
        </w:rPr>
        <w:t xml:space="preserve">10 </w:t>
      </w:r>
      <w:r>
        <w:t>Referred to throughout the framework and this quick guide as S42.</w:t>
      </w:r>
    </w:p>
    <w:p w14:paraId="733FDB9A" w14:textId="77777777" w:rsidR="002D73DB" w:rsidRDefault="008379E8">
      <w:pPr>
        <w:pStyle w:val="BodyText"/>
        <w:spacing w:line="209" w:lineRule="exact"/>
        <w:ind w:left="120"/>
      </w:pPr>
      <w:r>
        <w:rPr>
          <w:position w:val="6"/>
          <w:sz w:val="12"/>
        </w:rPr>
        <w:t xml:space="preserve">11 </w:t>
      </w:r>
      <w:r>
        <w:t>Considerations in support of defensible decisions are set out in Kemshall, H, 2009. They are readily accessible and reproduced in DH, 2010</w:t>
      </w:r>
    </w:p>
    <w:p w14:paraId="733FDB9B" w14:textId="77777777" w:rsidR="002D73DB" w:rsidRDefault="006A42CD">
      <w:pPr>
        <w:spacing w:before="2"/>
        <w:ind w:left="120"/>
        <w:rPr>
          <w:i/>
          <w:sz w:val="18"/>
        </w:rPr>
      </w:pPr>
      <w:hyperlink r:id="rId32">
        <w:r w:rsidR="008379E8">
          <w:rPr>
            <w:i/>
            <w:color w:val="0462C1"/>
            <w:sz w:val="18"/>
            <w:u w:val="single" w:color="0462C1"/>
          </w:rPr>
          <w:t>https://assets.publishing.service.gov.uk/government/uploads/system/uploads/attachment_data/file/215960/dh_121493.pdf</w:t>
        </w:r>
      </w:hyperlink>
    </w:p>
    <w:sectPr w:rsidR="002D73DB">
      <w:pgSz w:w="16840" w:h="11910" w:orient="landscape"/>
      <w:pgMar w:top="1100" w:right="740" w:bottom="820" w:left="1320" w:header="0"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158AF" w14:textId="77777777" w:rsidR="006A42CD" w:rsidRDefault="006A42CD">
      <w:r>
        <w:separator/>
      </w:r>
    </w:p>
  </w:endnote>
  <w:endnote w:type="continuationSeparator" w:id="0">
    <w:p w14:paraId="1859EE53" w14:textId="77777777" w:rsidR="006A42CD" w:rsidRDefault="006A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DBA6" w14:textId="545C49E7" w:rsidR="002D73DB" w:rsidRDefault="00115C3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3FDBA7" wp14:editId="49336952">
              <wp:simplePos x="0" y="0"/>
              <wp:positionH relativeFrom="page">
                <wp:posOffset>9671050</wp:posOffset>
              </wp:positionH>
              <wp:positionV relativeFrom="page">
                <wp:posOffset>7019290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DBA8" w14:textId="77777777" w:rsidR="002D73DB" w:rsidRDefault="008379E8">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DBA7" id="_x0000_t202" coordsize="21600,21600" o:spt="202" path="m,l,21600r21600,l21600,xe">
              <v:stroke joinstyle="miter"/>
              <v:path gradientshapeok="t" o:connecttype="rect"/>
            </v:shapetype>
            <v:shape id="Text Box 1" o:spid="_x0000_s1026" type="#_x0000_t202" style="position:absolute;margin-left:761.5pt;margin-top:552.7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" filled="f" stroked="f">
              <v:textbox inset="0,0,0,0">
                <w:txbxContent>
                  <w:p w14:paraId="733FDBA8" w14:textId="77777777" w:rsidR="002D73DB" w:rsidRDefault="008379E8">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B0C3" w14:textId="77777777" w:rsidR="006A42CD" w:rsidRDefault="006A42CD">
      <w:r>
        <w:separator/>
      </w:r>
    </w:p>
  </w:footnote>
  <w:footnote w:type="continuationSeparator" w:id="0">
    <w:p w14:paraId="1B304C0F" w14:textId="77777777" w:rsidR="006A42CD" w:rsidRDefault="006A4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36EA3"/>
    <w:multiLevelType w:val="hybridMultilevel"/>
    <w:tmpl w:val="5356812C"/>
    <w:lvl w:ilvl="0" w:tplc="0AAE1D6E">
      <w:numFmt w:val="bullet"/>
      <w:lvlText w:val=""/>
      <w:lvlJc w:val="left"/>
      <w:pPr>
        <w:ind w:left="840" w:hanging="360"/>
      </w:pPr>
      <w:rPr>
        <w:rFonts w:ascii="Symbol" w:eastAsia="Symbol" w:hAnsi="Symbol" w:cs="Symbol" w:hint="default"/>
        <w:w w:val="100"/>
        <w:sz w:val="24"/>
        <w:szCs w:val="24"/>
        <w:lang w:val="en-GB" w:eastAsia="en-US" w:bidi="ar-SA"/>
      </w:rPr>
    </w:lvl>
    <w:lvl w:ilvl="1" w:tplc="54828460">
      <w:numFmt w:val="bullet"/>
      <w:lvlText w:val="•"/>
      <w:lvlJc w:val="left"/>
      <w:pPr>
        <w:ind w:left="2233" w:hanging="360"/>
      </w:pPr>
      <w:rPr>
        <w:rFonts w:hint="default"/>
        <w:lang w:val="en-GB" w:eastAsia="en-US" w:bidi="ar-SA"/>
      </w:rPr>
    </w:lvl>
    <w:lvl w:ilvl="2" w:tplc="E4A638A8">
      <w:numFmt w:val="bullet"/>
      <w:lvlText w:val="•"/>
      <w:lvlJc w:val="left"/>
      <w:pPr>
        <w:ind w:left="3627" w:hanging="360"/>
      </w:pPr>
      <w:rPr>
        <w:rFonts w:hint="default"/>
        <w:lang w:val="en-GB" w:eastAsia="en-US" w:bidi="ar-SA"/>
      </w:rPr>
    </w:lvl>
    <w:lvl w:ilvl="3" w:tplc="D69A6244">
      <w:numFmt w:val="bullet"/>
      <w:lvlText w:val="•"/>
      <w:lvlJc w:val="left"/>
      <w:pPr>
        <w:ind w:left="5021" w:hanging="360"/>
      </w:pPr>
      <w:rPr>
        <w:rFonts w:hint="default"/>
        <w:lang w:val="en-GB" w:eastAsia="en-US" w:bidi="ar-SA"/>
      </w:rPr>
    </w:lvl>
    <w:lvl w:ilvl="4" w:tplc="5F744690">
      <w:numFmt w:val="bullet"/>
      <w:lvlText w:val="•"/>
      <w:lvlJc w:val="left"/>
      <w:pPr>
        <w:ind w:left="6415" w:hanging="360"/>
      </w:pPr>
      <w:rPr>
        <w:rFonts w:hint="default"/>
        <w:lang w:val="en-GB" w:eastAsia="en-US" w:bidi="ar-SA"/>
      </w:rPr>
    </w:lvl>
    <w:lvl w:ilvl="5" w:tplc="94DA1978">
      <w:numFmt w:val="bullet"/>
      <w:lvlText w:val="•"/>
      <w:lvlJc w:val="left"/>
      <w:pPr>
        <w:ind w:left="7809" w:hanging="360"/>
      </w:pPr>
      <w:rPr>
        <w:rFonts w:hint="default"/>
        <w:lang w:val="en-GB" w:eastAsia="en-US" w:bidi="ar-SA"/>
      </w:rPr>
    </w:lvl>
    <w:lvl w:ilvl="6" w:tplc="81FC2B52">
      <w:numFmt w:val="bullet"/>
      <w:lvlText w:val="•"/>
      <w:lvlJc w:val="left"/>
      <w:pPr>
        <w:ind w:left="9203" w:hanging="360"/>
      </w:pPr>
      <w:rPr>
        <w:rFonts w:hint="default"/>
        <w:lang w:val="en-GB" w:eastAsia="en-US" w:bidi="ar-SA"/>
      </w:rPr>
    </w:lvl>
    <w:lvl w:ilvl="7" w:tplc="4F327F58">
      <w:numFmt w:val="bullet"/>
      <w:lvlText w:val="•"/>
      <w:lvlJc w:val="left"/>
      <w:pPr>
        <w:ind w:left="10596" w:hanging="360"/>
      </w:pPr>
      <w:rPr>
        <w:rFonts w:hint="default"/>
        <w:lang w:val="en-GB" w:eastAsia="en-US" w:bidi="ar-SA"/>
      </w:rPr>
    </w:lvl>
    <w:lvl w:ilvl="8" w:tplc="FB88318E">
      <w:numFmt w:val="bullet"/>
      <w:lvlText w:val="•"/>
      <w:lvlJc w:val="left"/>
      <w:pPr>
        <w:ind w:left="11990" w:hanging="360"/>
      </w:pPr>
      <w:rPr>
        <w:rFonts w:hint="default"/>
        <w:lang w:val="en-GB" w:eastAsia="en-US" w:bidi="ar-SA"/>
      </w:rPr>
    </w:lvl>
  </w:abstractNum>
  <w:abstractNum w:abstractNumId="1" w15:restartNumberingAfterBreak="0">
    <w:nsid w:val="3A4D694B"/>
    <w:multiLevelType w:val="hybridMultilevel"/>
    <w:tmpl w:val="58AE6A8E"/>
    <w:lvl w:ilvl="0" w:tplc="27D8FD56">
      <w:start w:val="2"/>
      <w:numFmt w:val="lowerLetter"/>
      <w:lvlText w:val="(%1)"/>
      <w:lvlJc w:val="left"/>
      <w:pPr>
        <w:ind w:left="341" w:hanging="222"/>
        <w:jc w:val="left"/>
      </w:pPr>
      <w:rPr>
        <w:rFonts w:ascii="Arial" w:eastAsia="Arial" w:hAnsi="Arial" w:cs="Arial" w:hint="default"/>
        <w:w w:val="99"/>
        <w:sz w:val="16"/>
        <w:szCs w:val="16"/>
        <w:lang w:val="en-GB" w:eastAsia="en-US" w:bidi="ar-SA"/>
      </w:rPr>
    </w:lvl>
    <w:lvl w:ilvl="1" w:tplc="6A7A477C">
      <w:numFmt w:val="bullet"/>
      <w:lvlText w:val="•"/>
      <w:lvlJc w:val="left"/>
      <w:pPr>
        <w:ind w:left="1783" w:hanging="222"/>
      </w:pPr>
      <w:rPr>
        <w:rFonts w:hint="default"/>
        <w:lang w:val="en-GB" w:eastAsia="en-US" w:bidi="ar-SA"/>
      </w:rPr>
    </w:lvl>
    <w:lvl w:ilvl="2" w:tplc="CD9A4660">
      <w:numFmt w:val="bullet"/>
      <w:lvlText w:val="•"/>
      <w:lvlJc w:val="left"/>
      <w:pPr>
        <w:ind w:left="3227" w:hanging="222"/>
      </w:pPr>
      <w:rPr>
        <w:rFonts w:hint="default"/>
        <w:lang w:val="en-GB" w:eastAsia="en-US" w:bidi="ar-SA"/>
      </w:rPr>
    </w:lvl>
    <w:lvl w:ilvl="3" w:tplc="60A2C5A4">
      <w:numFmt w:val="bullet"/>
      <w:lvlText w:val="•"/>
      <w:lvlJc w:val="left"/>
      <w:pPr>
        <w:ind w:left="4671" w:hanging="222"/>
      </w:pPr>
      <w:rPr>
        <w:rFonts w:hint="default"/>
        <w:lang w:val="en-GB" w:eastAsia="en-US" w:bidi="ar-SA"/>
      </w:rPr>
    </w:lvl>
    <w:lvl w:ilvl="4" w:tplc="AFE09C60">
      <w:numFmt w:val="bullet"/>
      <w:lvlText w:val="•"/>
      <w:lvlJc w:val="left"/>
      <w:pPr>
        <w:ind w:left="6115" w:hanging="222"/>
      </w:pPr>
      <w:rPr>
        <w:rFonts w:hint="default"/>
        <w:lang w:val="en-GB" w:eastAsia="en-US" w:bidi="ar-SA"/>
      </w:rPr>
    </w:lvl>
    <w:lvl w:ilvl="5" w:tplc="A6E63FE6">
      <w:numFmt w:val="bullet"/>
      <w:lvlText w:val="•"/>
      <w:lvlJc w:val="left"/>
      <w:pPr>
        <w:ind w:left="7559" w:hanging="222"/>
      </w:pPr>
      <w:rPr>
        <w:rFonts w:hint="default"/>
        <w:lang w:val="en-GB" w:eastAsia="en-US" w:bidi="ar-SA"/>
      </w:rPr>
    </w:lvl>
    <w:lvl w:ilvl="6" w:tplc="A9C46BC0">
      <w:numFmt w:val="bullet"/>
      <w:lvlText w:val="•"/>
      <w:lvlJc w:val="left"/>
      <w:pPr>
        <w:ind w:left="9003" w:hanging="222"/>
      </w:pPr>
      <w:rPr>
        <w:rFonts w:hint="default"/>
        <w:lang w:val="en-GB" w:eastAsia="en-US" w:bidi="ar-SA"/>
      </w:rPr>
    </w:lvl>
    <w:lvl w:ilvl="7" w:tplc="4168AC38">
      <w:numFmt w:val="bullet"/>
      <w:lvlText w:val="•"/>
      <w:lvlJc w:val="left"/>
      <w:pPr>
        <w:ind w:left="10446" w:hanging="222"/>
      </w:pPr>
      <w:rPr>
        <w:rFonts w:hint="default"/>
        <w:lang w:val="en-GB" w:eastAsia="en-US" w:bidi="ar-SA"/>
      </w:rPr>
    </w:lvl>
    <w:lvl w:ilvl="8" w:tplc="7CAA2BD8">
      <w:numFmt w:val="bullet"/>
      <w:lvlText w:val="•"/>
      <w:lvlJc w:val="left"/>
      <w:pPr>
        <w:ind w:left="11890" w:hanging="222"/>
      </w:pPr>
      <w:rPr>
        <w:rFonts w:hint="default"/>
        <w:lang w:val="en-GB" w:eastAsia="en-US" w:bidi="ar-SA"/>
      </w:rPr>
    </w:lvl>
  </w:abstractNum>
  <w:abstractNum w:abstractNumId="2" w15:restartNumberingAfterBreak="0">
    <w:nsid w:val="4A8F2332"/>
    <w:multiLevelType w:val="hybridMultilevel"/>
    <w:tmpl w:val="43A8D95C"/>
    <w:lvl w:ilvl="0" w:tplc="1A2665FE">
      <w:start w:val="4"/>
      <w:numFmt w:val="decimal"/>
      <w:lvlText w:val="%1."/>
      <w:lvlJc w:val="left"/>
      <w:pPr>
        <w:ind w:left="848" w:hanging="360"/>
      </w:pPr>
      <w:rPr>
        <w:rFonts w:hint="default"/>
      </w:r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3" w15:restartNumberingAfterBreak="0">
    <w:nsid w:val="52A24681"/>
    <w:multiLevelType w:val="hybridMultilevel"/>
    <w:tmpl w:val="3A9A7066"/>
    <w:lvl w:ilvl="0" w:tplc="9398A842">
      <w:start w:val="1"/>
      <w:numFmt w:val="decimal"/>
      <w:lvlText w:val="%1."/>
      <w:lvlJc w:val="left"/>
      <w:pPr>
        <w:ind w:left="848" w:hanging="360"/>
      </w:pPr>
      <w:rPr>
        <w:rFonts w:ascii="Arial" w:hAnsi="Arial" w:cs="Arial" w:hint="default"/>
        <w:b/>
        <w:bCs/>
        <w:sz w:val="22"/>
        <w:szCs w:val="32"/>
      </w:r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4" w15:restartNumberingAfterBreak="0">
    <w:nsid w:val="626C1AEF"/>
    <w:multiLevelType w:val="hybridMultilevel"/>
    <w:tmpl w:val="04EA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3057"/>
    <w:multiLevelType w:val="hybridMultilevel"/>
    <w:tmpl w:val="80744E6A"/>
    <w:lvl w:ilvl="0" w:tplc="8CB6B8CE">
      <w:numFmt w:val="bullet"/>
      <w:lvlText w:val=""/>
      <w:lvlJc w:val="left"/>
      <w:pPr>
        <w:ind w:left="840" w:hanging="360"/>
      </w:pPr>
      <w:rPr>
        <w:rFonts w:ascii="Symbol" w:eastAsia="Symbol" w:hAnsi="Symbol" w:cs="Symbol" w:hint="default"/>
        <w:w w:val="99"/>
        <w:sz w:val="20"/>
        <w:szCs w:val="20"/>
        <w:lang w:val="en-GB" w:eastAsia="en-US" w:bidi="ar-SA"/>
      </w:rPr>
    </w:lvl>
    <w:lvl w:ilvl="1" w:tplc="6DD2AF9A">
      <w:numFmt w:val="bullet"/>
      <w:lvlText w:val="•"/>
      <w:lvlJc w:val="left"/>
      <w:pPr>
        <w:ind w:left="2233" w:hanging="360"/>
      </w:pPr>
      <w:rPr>
        <w:rFonts w:hint="default"/>
        <w:lang w:val="en-GB" w:eastAsia="en-US" w:bidi="ar-SA"/>
      </w:rPr>
    </w:lvl>
    <w:lvl w:ilvl="2" w:tplc="186AD856">
      <w:numFmt w:val="bullet"/>
      <w:lvlText w:val="•"/>
      <w:lvlJc w:val="left"/>
      <w:pPr>
        <w:ind w:left="3627" w:hanging="360"/>
      </w:pPr>
      <w:rPr>
        <w:rFonts w:hint="default"/>
        <w:lang w:val="en-GB" w:eastAsia="en-US" w:bidi="ar-SA"/>
      </w:rPr>
    </w:lvl>
    <w:lvl w:ilvl="3" w:tplc="0C22CE38">
      <w:numFmt w:val="bullet"/>
      <w:lvlText w:val="•"/>
      <w:lvlJc w:val="left"/>
      <w:pPr>
        <w:ind w:left="5021" w:hanging="360"/>
      </w:pPr>
      <w:rPr>
        <w:rFonts w:hint="default"/>
        <w:lang w:val="en-GB" w:eastAsia="en-US" w:bidi="ar-SA"/>
      </w:rPr>
    </w:lvl>
    <w:lvl w:ilvl="4" w:tplc="C4128620">
      <w:numFmt w:val="bullet"/>
      <w:lvlText w:val="•"/>
      <w:lvlJc w:val="left"/>
      <w:pPr>
        <w:ind w:left="6415" w:hanging="360"/>
      </w:pPr>
      <w:rPr>
        <w:rFonts w:hint="default"/>
        <w:lang w:val="en-GB" w:eastAsia="en-US" w:bidi="ar-SA"/>
      </w:rPr>
    </w:lvl>
    <w:lvl w:ilvl="5" w:tplc="01207CDE">
      <w:numFmt w:val="bullet"/>
      <w:lvlText w:val="•"/>
      <w:lvlJc w:val="left"/>
      <w:pPr>
        <w:ind w:left="7809" w:hanging="360"/>
      </w:pPr>
      <w:rPr>
        <w:rFonts w:hint="default"/>
        <w:lang w:val="en-GB" w:eastAsia="en-US" w:bidi="ar-SA"/>
      </w:rPr>
    </w:lvl>
    <w:lvl w:ilvl="6" w:tplc="F344FCF4">
      <w:numFmt w:val="bullet"/>
      <w:lvlText w:val="•"/>
      <w:lvlJc w:val="left"/>
      <w:pPr>
        <w:ind w:left="9203" w:hanging="360"/>
      </w:pPr>
      <w:rPr>
        <w:rFonts w:hint="default"/>
        <w:lang w:val="en-GB" w:eastAsia="en-US" w:bidi="ar-SA"/>
      </w:rPr>
    </w:lvl>
    <w:lvl w:ilvl="7" w:tplc="AD0C2056">
      <w:numFmt w:val="bullet"/>
      <w:lvlText w:val="•"/>
      <w:lvlJc w:val="left"/>
      <w:pPr>
        <w:ind w:left="10596" w:hanging="360"/>
      </w:pPr>
      <w:rPr>
        <w:rFonts w:hint="default"/>
        <w:lang w:val="en-GB" w:eastAsia="en-US" w:bidi="ar-SA"/>
      </w:rPr>
    </w:lvl>
    <w:lvl w:ilvl="8" w:tplc="F578C356">
      <w:numFmt w:val="bullet"/>
      <w:lvlText w:val="•"/>
      <w:lvlJc w:val="left"/>
      <w:pPr>
        <w:ind w:left="11990" w:hanging="360"/>
      </w:pPr>
      <w:rPr>
        <w:rFonts w:hint="default"/>
        <w:lang w:val="en-GB" w:eastAsia="en-US" w:bidi="ar-SA"/>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DB"/>
    <w:rsid w:val="000A4C57"/>
    <w:rsid w:val="000C27D8"/>
    <w:rsid w:val="00115C34"/>
    <w:rsid w:val="001F7C11"/>
    <w:rsid w:val="002D73DB"/>
    <w:rsid w:val="00571F5E"/>
    <w:rsid w:val="00614C3F"/>
    <w:rsid w:val="00624AA8"/>
    <w:rsid w:val="006A42CD"/>
    <w:rsid w:val="006B142D"/>
    <w:rsid w:val="0082454D"/>
    <w:rsid w:val="00834F48"/>
    <w:rsid w:val="008379E8"/>
    <w:rsid w:val="00A41E67"/>
    <w:rsid w:val="00A734AF"/>
    <w:rsid w:val="00B2763E"/>
    <w:rsid w:val="00B95ED1"/>
    <w:rsid w:val="00C4286D"/>
    <w:rsid w:val="00CA19CD"/>
    <w:rsid w:val="00DE5664"/>
    <w:rsid w:val="00DF5001"/>
    <w:rsid w:val="00EB61CE"/>
    <w:rsid w:val="00EF4C69"/>
    <w:rsid w:val="00F76486"/>
    <w:rsid w:val="00F76C2B"/>
    <w:rsid w:val="00F9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FDACB"/>
  <w15:docId w15:val="{F358D400-5B02-41A8-BCCA-98DB173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18"/>
      <w:ind w:left="120" w:right="766"/>
    </w:pPr>
    <w:rPr>
      <w:b/>
      <w:bCs/>
      <w:sz w:val="56"/>
      <w:szCs w:val="5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108"/>
    </w:pPr>
  </w:style>
  <w:style w:type="paragraph" w:styleId="FootnoteText">
    <w:name w:val="footnote text"/>
    <w:basedOn w:val="Normal"/>
    <w:link w:val="FootnoteTextChar"/>
    <w:uiPriority w:val="99"/>
    <w:semiHidden/>
    <w:unhideWhenUsed/>
    <w:rsid w:val="00C4286D"/>
    <w:rPr>
      <w:sz w:val="20"/>
      <w:szCs w:val="20"/>
    </w:rPr>
  </w:style>
  <w:style w:type="character" w:customStyle="1" w:styleId="FootnoteTextChar">
    <w:name w:val="Footnote Text Char"/>
    <w:basedOn w:val="DefaultParagraphFont"/>
    <w:link w:val="FootnoteText"/>
    <w:uiPriority w:val="99"/>
    <w:semiHidden/>
    <w:rsid w:val="00C4286D"/>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C4286D"/>
    <w:rPr>
      <w:vertAlign w:val="superscript"/>
    </w:rPr>
  </w:style>
  <w:style w:type="paragraph" w:styleId="NoSpacing">
    <w:name w:val="No Spacing"/>
    <w:uiPriority w:val="1"/>
    <w:qFormat/>
    <w:rsid w:val="00DE5664"/>
    <w:rPr>
      <w:rFonts w:ascii="Arial" w:eastAsia="Arial" w:hAnsi="Arial" w:cs="Arial"/>
      <w:lang w:val="en-GB"/>
    </w:rPr>
  </w:style>
  <w:style w:type="paragraph" w:styleId="BalloonText">
    <w:name w:val="Balloon Text"/>
    <w:basedOn w:val="Normal"/>
    <w:link w:val="BalloonTextChar"/>
    <w:uiPriority w:val="99"/>
    <w:semiHidden/>
    <w:unhideWhenUsed/>
    <w:rsid w:val="00CA1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9CD"/>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local.gov.uk/sites/default/files/documents/25.130%20Making%20Decisions%20on%20the%20duty_06%20WEB.pdf" TargetMode="External"/><Relationship Id="rId18" Type="http://schemas.openxmlformats.org/officeDocument/2006/relationships/hyperlink" Target="https://www.local.gov.uk/sites/default/files/documents/25.168_Understanding_what_constitutes_a_safeguarding_07.1.pdf" TargetMode="External"/><Relationship Id="rId26" Type="http://schemas.openxmlformats.org/officeDocument/2006/relationships/hyperlink" Target="https://www.local.gov.uk/sites/default/files/documents/25.168_Understanding_what_constitutes_a_safeguarding_07.1.pdf" TargetMode="External"/><Relationship Id="rId3" Type="http://schemas.openxmlformats.org/officeDocument/2006/relationships/styles" Target="styles.xml"/><Relationship Id="rId21" Type="http://schemas.openxmlformats.org/officeDocument/2006/relationships/hyperlink" Target="https://www.local.gov.uk/understanding-what-constitutes-safeguarding-concern-and-how-support-effective-outcome-append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ocal.gov.uk/our-support/our-improvement-offer/care-and-health-improvement/making-safeguarding-personal" TargetMode="External"/><Relationship Id="rId17" Type="http://schemas.openxmlformats.org/officeDocument/2006/relationships/hyperlink" Target="https://www.local.gov.uk/understanding-what-constitutes-safeguarding-concern-and-how-support-effective-outcome-appendices" TargetMode="External"/><Relationship Id="rId25" Type="http://schemas.openxmlformats.org/officeDocument/2006/relationships/hyperlink" Target="http://www.gov.uk/govern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cal.gov.uk/understanding-what-constitutes-safeguarding-concern-and-how-support-effective-outcome-appendices" TargetMode="External"/><Relationship Id="rId20" Type="http://schemas.openxmlformats.org/officeDocument/2006/relationships/hyperlink" Target="https://www.local.gov.uk/understanding-what-constitutes-safeguarding-concern-and-how-support-effective-outcome-appendices" TargetMode="External"/><Relationship Id="rId29" Type="http://schemas.openxmlformats.org/officeDocument/2006/relationships/hyperlink" Target="file://localhost/C:/Users/user/Downloads/sac-guidance-2019-20-v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v.uk/government/" TargetMode="External"/><Relationship Id="rId32" Type="http://schemas.openxmlformats.org/officeDocument/2006/relationships/hyperlink" Target="https://assets.publishing.service.gov.uk/government/uploads/system/uploads/attachment_data/file/215960/dh_121493.pdf" TargetMode="External"/><Relationship Id="rId5" Type="http://schemas.openxmlformats.org/officeDocument/2006/relationships/webSettings" Target="webSettings.xml"/><Relationship Id="rId15" Type="http://schemas.openxmlformats.org/officeDocument/2006/relationships/hyperlink" Target="https://www.local.gov.uk/understanding-what-constitutes-safeguarding-concern-and-how-support-effective-outcomes" TargetMode="External"/><Relationship Id="rId23" Type="http://schemas.openxmlformats.org/officeDocument/2006/relationships/hyperlink" Target="https://www.local.gov.uk/understanding-what-constitutes-safeguarding-concern-and-how-support-effective-outcomes" TargetMode="External"/><Relationship Id="rId28" Type="http://schemas.openxmlformats.org/officeDocument/2006/relationships/hyperlink" Target="file://localhost/C:/Users/user/Downloads/sac-guidance-2019-20-v1.0.pdf" TargetMode="External"/><Relationship Id="rId10" Type="http://schemas.openxmlformats.org/officeDocument/2006/relationships/hyperlink" Target="https://www.local.gov.uk/understanding-what-constitutes-safeguarding-concern-and-how-support-effective-outcomes" TargetMode="External"/><Relationship Id="rId19" Type="http://schemas.openxmlformats.org/officeDocument/2006/relationships/hyperlink" Target="https://www.local.gov.uk/understanding-what-constitutes-safeguarding-concern-and-how-support-effective-outcome-appendices" TargetMode="External"/><Relationship Id="rId31" Type="http://schemas.openxmlformats.org/officeDocument/2006/relationships/hyperlink" Target="https://www.local.gov.uk/sites/default/files/documents/25.168_Understanding_what_constitutes_a_safeguarding_07.1.pdf" TargetMode="External"/><Relationship Id="rId4" Type="http://schemas.openxmlformats.org/officeDocument/2006/relationships/settings" Target="settings.xml"/><Relationship Id="rId9" Type="http://schemas.openxmlformats.org/officeDocument/2006/relationships/hyperlink" Target="https://www.local.gov.uk/understanding-what-constitutes-safeguarding-concern-and-how-support-effective-outcomes" TargetMode="External"/><Relationship Id="rId14" Type="http://schemas.openxmlformats.org/officeDocument/2006/relationships/hyperlink" Target="https://digital.nhs.uk/data-and-information/publications/statistical/safeguarding-adults" TargetMode="External"/><Relationship Id="rId22" Type="http://schemas.openxmlformats.org/officeDocument/2006/relationships/hyperlink" Target="https://www.local.gov.uk/understanding-what-constitutes-safeguarding-concern-and-how-support-effective-outcome-appendices" TargetMode="External"/><Relationship Id="rId27" Type="http://schemas.openxmlformats.org/officeDocument/2006/relationships/hyperlink" Target="file://localhost/C:/Users/user/Downloads/sac-guidance-2019-20-v1.0.pdf" TargetMode="External"/><Relationship Id="rId30" Type="http://schemas.openxmlformats.org/officeDocument/2006/relationships/hyperlink" Target="https://www.local.gov.uk/sites/default/files/documents/25.168_Understanding_what_constitutes_a_safeguarding_07.1.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F1B3-4FA4-4AD0-8C13-F5BD4789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Lawson</dc:creator>
  <cp:lastModifiedBy>Jane Hughes</cp:lastModifiedBy>
  <cp:revision>2</cp:revision>
  <dcterms:created xsi:type="dcterms:W3CDTF">2020-11-17T06:46:00Z</dcterms:created>
  <dcterms:modified xsi:type="dcterms:W3CDTF">2020-11-17T06:46:00Z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for Microsoft 365</vt:lpwstr>
  </property>
  <property fmtid="{D5CDD505-2E9C-101B-9397-08002B2CF9AE}" pid="4" name="LastSaved">
    <vt:filetime>2020-10-20T00:00:00Z</vt:filetime>
  </property>
</Properties>
</file>