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43B89" w14:textId="2A62CB6C" w:rsidR="002C6D79" w:rsidRDefault="002C6D79" w:rsidP="00875D4A">
      <w:pPr>
        <w:pStyle w:val="Default"/>
        <w:rPr>
          <w:rFonts w:ascii="Arial" w:hAnsi="Arial" w:cs="Arial"/>
          <w:b/>
          <w:bCs/>
          <w:color w:val="FF0000"/>
        </w:rPr>
      </w:pPr>
      <w:r>
        <w:rPr>
          <w:noProof/>
          <w:lang w:eastAsia="en-GB"/>
        </w:rPr>
        <w:drawing>
          <wp:anchor distT="0" distB="0" distL="114300" distR="114300" simplePos="0" relativeHeight="251657728" behindDoc="0" locked="0" layoutInCell="1" allowOverlap="1" wp14:anchorId="6A27589C" wp14:editId="2534A176">
            <wp:simplePos x="0" y="0"/>
            <wp:positionH relativeFrom="margin">
              <wp:posOffset>-171450</wp:posOffset>
            </wp:positionH>
            <wp:positionV relativeFrom="margin">
              <wp:posOffset>-643255</wp:posOffset>
            </wp:positionV>
            <wp:extent cx="1300480" cy="762635"/>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 cy="762635"/>
                    </a:xfrm>
                    <a:prstGeom prst="rect">
                      <a:avLst/>
                    </a:prstGeom>
                    <a:noFill/>
                    <a:ln w="9525">
                      <a:noFill/>
                      <a:miter lim="800000"/>
                      <a:headEnd/>
                      <a:tailEnd/>
                    </a:ln>
                  </pic:spPr>
                </pic:pic>
              </a:graphicData>
            </a:graphic>
          </wp:anchor>
        </w:drawing>
      </w:r>
    </w:p>
    <w:p w14:paraId="68A94E4C" w14:textId="3DDAFF15" w:rsidR="002C6D79" w:rsidRDefault="002C6D79" w:rsidP="00875D4A">
      <w:pPr>
        <w:pStyle w:val="Default"/>
        <w:rPr>
          <w:rFonts w:ascii="Arial" w:hAnsi="Arial" w:cs="Arial"/>
          <w:b/>
          <w:bCs/>
          <w:color w:val="FF0000"/>
        </w:rPr>
      </w:pPr>
    </w:p>
    <w:p w14:paraId="61AF6B15" w14:textId="054F812B" w:rsidR="00875D4A" w:rsidRPr="002C6D79" w:rsidRDefault="00734403" w:rsidP="002C6D79">
      <w:pPr>
        <w:pStyle w:val="Default"/>
        <w:ind w:left="-284"/>
        <w:rPr>
          <w:rFonts w:ascii="Arial" w:hAnsi="Arial" w:cs="Arial"/>
          <w:b/>
          <w:bCs/>
          <w:color w:val="auto"/>
        </w:rPr>
      </w:pPr>
      <w:r>
        <w:rPr>
          <w:rFonts w:ascii="Arial" w:hAnsi="Arial" w:cs="Arial"/>
          <w:b/>
          <w:bCs/>
          <w:color w:val="auto"/>
        </w:rPr>
        <w:t xml:space="preserve">Quick Guide </w:t>
      </w:r>
      <w:r w:rsidR="004B55DB">
        <w:rPr>
          <w:rFonts w:ascii="Arial" w:hAnsi="Arial" w:cs="Arial"/>
          <w:b/>
          <w:bCs/>
          <w:color w:val="auto"/>
        </w:rPr>
        <w:t xml:space="preserve">1 - </w:t>
      </w:r>
      <w:r w:rsidR="00FD49C3" w:rsidRPr="002C6D79">
        <w:rPr>
          <w:rFonts w:ascii="Arial" w:hAnsi="Arial" w:cs="Arial"/>
          <w:b/>
          <w:bCs/>
          <w:color w:val="auto"/>
        </w:rPr>
        <w:t xml:space="preserve">Working with </w:t>
      </w:r>
      <w:r w:rsidR="00875D4A" w:rsidRPr="002C6D79">
        <w:rPr>
          <w:rFonts w:ascii="Arial" w:hAnsi="Arial" w:cs="Arial"/>
          <w:b/>
          <w:bCs/>
          <w:color w:val="auto"/>
        </w:rPr>
        <w:t>Definitions</w:t>
      </w:r>
    </w:p>
    <w:p w14:paraId="21ABFE17" w14:textId="77777777" w:rsidR="00875D4A" w:rsidRPr="002C6D79" w:rsidRDefault="00875D4A" w:rsidP="002C6D79">
      <w:pPr>
        <w:pStyle w:val="Default"/>
        <w:ind w:left="-284"/>
        <w:rPr>
          <w:rFonts w:ascii="Arial MT Std Light" w:hAnsi="Arial MT Std Light" w:cs="Arial MT Std Light"/>
          <w:b/>
          <w:bCs/>
          <w:color w:val="auto"/>
        </w:rPr>
      </w:pPr>
    </w:p>
    <w:p w14:paraId="54CF559B" w14:textId="77777777" w:rsidR="00870F43" w:rsidRPr="00870F43" w:rsidRDefault="00870F43" w:rsidP="00870F43">
      <w:pPr>
        <w:pStyle w:val="Default"/>
        <w:ind w:left="-284"/>
        <w:rPr>
          <w:rFonts w:ascii="Arial" w:hAnsi="Arial" w:cs="Arial"/>
          <w:color w:val="auto"/>
        </w:rPr>
      </w:pPr>
      <w:r w:rsidRPr="00870F43">
        <w:rPr>
          <w:rFonts w:ascii="Arial" w:hAnsi="Arial" w:cs="Arial"/>
          <w:color w:val="auto"/>
        </w:rPr>
        <w:t xml:space="preserve">Shared definitions: ‘adult safeguarding concern’, ‘need for care and support’ and ‘abuse and neglect’. This empowers all partners. </w:t>
      </w:r>
    </w:p>
    <w:p w14:paraId="1E47805D" w14:textId="67964E9E" w:rsidR="00875D4A" w:rsidRDefault="00870F43" w:rsidP="00870F43">
      <w:pPr>
        <w:pStyle w:val="Default"/>
        <w:ind w:left="-284"/>
        <w:rPr>
          <w:rFonts w:ascii="Arial" w:hAnsi="Arial" w:cs="Arial"/>
          <w:color w:val="auto"/>
        </w:rPr>
      </w:pPr>
      <w:r w:rsidRPr="00870F43">
        <w:rPr>
          <w:rFonts w:ascii="Arial" w:hAnsi="Arial" w:cs="Arial"/>
          <w:color w:val="auto"/>
        </w:rPr>
        <w:t>It supports shared and transparent decision making and constructive mutual challenge.</w:t>
      </w:r>
    </w:p>
    <w:p w14:paraId="0C52FD3C" w14:textId="77777777" w:rsidR="00870F43" w:rsidRPr="002C6D79" w:rsidRDefault="00870F43" w:rsidP="00870F43">
      <w:pPr>
        <w:pStyle w:val="Default"/>
        <w:rPr>
          <w:rFonts w:ascii="Arial" w:hAnsi="Arial" w:cs="Arial"/>
          <w:color w:val="auto"/>
        </w:rPr>
      </w:pPr>
    </w:p>
    <w:tbl>
      <w:tblPr>
        <w:tblStyle w:val="TableGrid"/>
        <w:tblW w:w="14318" w:type="dxa"/>
        <w:tblInd w:w="-289" w:type="dxa"/>
        <w:tblLook w:val="04A0" w:firstRow="1" w:lastRow="0" w:firstColumn="1" w:lastColumn="0" w:noHBand="0" w:noVBand="1"/>
      </w:tblPr>
      <w:tblGrid>
        <w:gridCol w:w="3539"/>
        <w:gridCol w:w="10779"/>
      </w:tblGrid>
      <w:tr w:rsidR="002C6D79" w:rsidRPr="002C6D79" w14:paraId="0C42EAC4" w14:textId="77777777" w:rsidTr="00875D4A">
        <w:tc>
          <w:tcPr>
            <w:tcW w:w="3539" w:type="dxa"/>
          </w:tcPr>
          <w:p w14:paraId="04B6C35E" w14:textId="3D5C16D2" w:rsidR="00875D4A" w:rsidRPr="002C6D79" w:rsidRDefault="00875D4A">
            <w:pPr>
              <w:rPr>
                <w:sz w:val="24"/>
                <w:szCs w:val="24"/>
              </w:rPr>
            </w:pPr>
            <w:r w:rsidRPr="002C6D79">
              <w:rPr>
                <w:rFonts w:ascii="Arial" w:hAnsi="Arial" w:cs="Arial"/>
                <w:b/>
                <w:bCs/>
                <w:sz w:val="24"/>
                <w:szCs w:val="24"/>
              </w:rPr>
              <w:t>This framework proposes the following in defining adult safeguarding concerns</w:t>
            </w:r>
          </w:p>
        </w:tc>
        <w:tc>
          <w:tcPr>
            <w:tcW w:w="10779" w:type="dxa"/>
          </w:tcPr>
          <w:p w14:paraId="64D9C732" w14:textId="77777777" w:rsidR="00870F43" w:rsidRPr="00873BED" w:rsidRDefault="00870F43" w:rsidP="00870F43">
            <w:pPr>
              <w:autoSpaceDE w:val="0"/>
              <w:autoSpaceDN w:val="0"/>
              <w:adjustRightInd w:val="0"/>
              <w:rPr>
                <w:rFonts w:ascii="Arial" w:hAnsi="Arial" w:cs="Arial"/>
                <w:sz w:val="24"/>
                <w:szCs w:val="24"/>
              </w:rPr>
            </w:pPr>
            <w:r w:rsidRPr="00873BED">
              <w:rPr>
                <w:rFonts w:ascii="Arial" w:hAnsi="Arial" w:cs="Arial"/>
                <w:sz w:val="24"/>
                <w:szCs w:val="24"/>
              </w:rPr>
              <w:t>Where it appears that there is reasonable cause to suspect that an adult has needs for care and support (whether or not the</w:t>
            </w:r>
            <w:r>
              <w:rPr>
                <w:rFonts w:ascii="Arial" w:hAnsi="Arial" w:cs="Arial"/>
                <w:sz w:val="24"/>
                <w:szCs w:val="24"/>
              </w:rPr>
              <w:t xml:space="preserve"> local</w:t>
            </w:r>
            <w:r w:rsidRPr="00873BED">
              <w:rPr>
                <w:rFonts w:ascii="Arial" w:hAnsi="Arial" w:cs="Arial"/>
                <w:sz w:val="24"/>
                <w:szCs w:val="24"/>
              </w:rPr>
              <w:t xml:space="preserve"> authority is meeting any of those needs), and the referring worker/ organisation believes that the adult is at risk of or experiencing abuse or neglect</w:t>
            </w:r>
            <w:r>
              <w:rPr>
                <w:rStyle w:val="FootnoteReference"/>
                <w:rFonts w:ascii="Arial" w:hAnsi="Arial" w:cs="Arial"/>
                <w:sz w:val="24"/>
                <w:szCs w:val="24"/>
              </w:rPr>
              <w:footnoteReference w:id="1"/>
            </w:r>
            <w:r>
              <w:rPr>
                <w:rFonts w:ascii="Arial" w:hAnsi="Arial" w:cs="Arial"/>
                <w:sz w:val="24"/>
                <w:szCs w:val="24"/>
              </w:rPr>
              <w:t>;</w:t>
            </w:r>
            <w:r w:rsidRPr="00873BED">
              <w:rPr>
                <w:rFonts w:ascii="Arial" w:hAnsi="Arial" w:cs="Arial"/>
                <w:sz w:val="24"/>
                <w:szCs w:val="24"/>
              </w:rPr>
              <w:t xml:space="preserve"> such circumstances amount to a safeguarding concern and the framework proposes that a safeguarding concern is raised to the local authority.</w:t>
            </w:r>
          </w:p>
          <w:p w14:paraId="11BBAAA6" w14:textId="77777777" w:rsidR="00870F43" w:rsidRPr="00873BED" w:rsidRDefault="00870F43" w:rsidP="00870F43"/>
          <w:p w14:paraId="7271A139" w14:textId="678E61D7" w:rsidR="004B55DB" w:rsidRPr="00EE135E" w:rsidRDefault="00870F43" w:rsidP="00870F43">
            <w:pPr>
              <w:pStyle w:val="Default"/>
              <w:rPr>
                <w:rFonts w:ascii="Arial" w:hAnsi="Arial" w:cs="Arial"/>
                <w:color w:val="auto"/>
              </w:rPr>
            </w:pPr>
            <w:r>
              <w:rPr>
                <w:rFonts w:ascii="Arial" w:hAnsi="Arial" w:cs="Arial"/>
                <w:color w:val="auto"/>
              </w:rPr>
              <w:t xml:space="preserve">Paragraph </w:t>
            </w:r>
            <w:r w:rsidRPr="002C6D79">
              <w:rPr>
                <w:rFonts w:ascii="Arial" w:hAnsi="Arial" w:cs="Arial"/>
                <w:color w:val="auto"/>
              </w:rPr>
              <w:t xml:space="preserve">14.17 of the Care and Support Statutory Guidance (DHSC, 2020) advises </w:t>
            </w:r>
            <w:r w:rsidRPr="002C6D79">
              <w:rPr>
                <w:rFonts w:ascii="Arial" w:hAnsi="Arial" w:cs="Arial"/>
                <w:b/>
                <w:bCs/>
                <w:color w:val="auto"/>
              </w:rPr>
              <w:t xml:space="preserve">local authorities </w:t>
            </w:r>
            <w:r w:rsidRPr="002C6D79">
              <w:rPr>
                <w:rFonts w:ascii="Arial" w:hAnsi="Arial" w:cs="Arial"/>
                <w:color w:val="auto"/>
              </w:rPr>
              <w:t xml:space="preserve">to consider </w:t>
            </w:r>
            <w:r>
              <w:rPr>
                <w:rFonts w:ascii="Arial" w:hAnsi="Arial" w:cs="Arial"/>
                <w:color w:val="auto"/>
              </w:rPr>
              <w:t xml:space="preserve">all </w:t>
            </w:r>
            <w:r w:rsidRPr="002C6D79">
              <w:rPr>
                <w:rFonts w:ascii="Arial" w:hAnsi="Arial" w:cs="Arial"/>
                <w:color w:val="auto"/>
              </w:rPr>
              <w:t>three statutory criteria</w:t>
            </w:r>
            <w:r>
              <w:rPr>
                <w:rFonts w:ascii="Arial" w:hAnsi="Arial" w:cs="Arial"/>
                <w:color w:val="auto"/>
              </w:rPr>
              <w:t xml:space="preserve"> (Care Act (2014) S42(1))</w:t>
            </w:r>
            <w:r w:rsidRPr="002C6D79">
              <w:rPr>
                <w:rFonts w:ascii="Arial" w:hAnsi="Arial" w:cs="Arial"/>
                <w:color w:val="auto"/>
              </w:rPr>
              <w:t xml:space="preserve"> and to explore concerns raised in a person-centred way.</w:t>
            </w:r>
            <w:r w:rsidRPr="00C8252F">
              <w:rPr>
                <w:rFonts w:ascii="Arial" w:hAnsi="Arial" w:cs="Arial"/>
                <w:color w:val="auto"/>
              </w:rPr>
              <w:t xml:space="preserve"> Neither the Care Act (2014) nor the associated Care and Support Statutory Guidance (DHSC, 2020) state that all three criteria S42(1) must be fulfilled in order for </w:t>
            </w:r>
            <w:r w:rsidRPr="00C8252F">
              <w:rPr>
                <w:rFonts w:ascii="Arial" w:hAnsi="Arial" w:cs="Arial"/>
                <w:b/>
                <w:bCs/>
                <w:color w:val="auto"/>
              </w:rPr>
              <w:t xml:space="preserve">all organisations </w:t>
            </w:r>
            <w:r w:rsidRPr="00C8252F">
              <w:rPr>
                <w:rFonts w:ascii="Arial" w:hAnsi="Arial" w:cs="Arial"/>
                <w:color w:val="auto"/>
              </w:rPr>
              <w:t xml:space="preserve">to conclude (from available information) that an issue constitutes a safeguarding concern and to raise it to the local authority. </w:t>
            </w:r>
          </w:p>
        </w:tc>
      </w:tr>
      <w:tr w:rsidR="00870F43" w:rsidRPr="002C6D79" w14:paraId="15846D96" w14:textId="77777777" w:rsidTr="00875D4A">
        <w:tc>
          <w:tcPr>
            <w:tcW w:w="3539" w:type="dxa"/>
          </w:tcPr>
          <w:p w14:paraId="09217226" w14:textId="701EAB8C" w:rsidR="00870F43" w:rsidRPr="002C6D79" w:rsidRDefault="00870F43" w:rsidP="00870F43">
            <w:pPr>
              <w:rPr>
                <w:rFonts w:ascii="Arial" w:hAnsi="Arial" w:cs="Arial"/>
                <w:b/>
                <w:bCs/>
                <w:sz w:val="24"/>
                <w:szCs w:val="24"/>
              </w:rPr>
            </w:pPr>
            <w:r>
              <w:rPr>
                <w:rFonts w:ascii="Arial" w:hAnsi="Arial" w:cs="Arial"/>
                <w:b/>
                <w:bCs/>
                <w:sz w:val="24"/>
                <w:szCs w:val="24"/>
              </w:rPr>
              <w:t>‘</w:t>
            </w:r>
            <w:r w:rsidRPr="002C6D79">
              <w:rPr>
                <w:rFonts w:ascii="Arial" w:hAnsi="Arial" w:cs="Arial"/>
                <w:b/>
                <w:bCs/>
                <w:sz w:val="24"/>
                <w:szCs w:val="24"/>
              </w:rPr>
              <w:t>needs for care and support’</w:t>
            </w:r>
          </w:p>
        </w:tc>
        <w:tc>
          <w:tcPr>
            <w:tcW w:w="10779" w:type="dxa"/>
          </w:tcPr>
          <w:p w14:paraId="281E8990" w14:textId="77777777" w:rsidR="00870F43" w:rsidRPr="002C6D79" w:rsidRDefault="00870F43" w:rsidP="00870F43">
            <w:pPr>
              <w:pStyle w:val="Default"/>
              <w:rPr>
                <w:rFonts w:ascii="Arial" w:hAnsi="Arial" w:cs="Arial"/>
                <w:color w:val="auto"/>
              </w:rPr>
            </w:pPr>
            <w:r>
              <w:rPr>
                <w:rFonts w:ascii="Arial" w:hAnsi="Arial" w:cs="Arial"/>
                <w:color w:val="auto"/>
              </w:rPr>
              <w:t xml:space="preserve">For consistency of understanding of the term ‘needs for care and support’, the framework suggests, </w:t>
            </w:r>
          </w:p>
          <w:p w14:paraId="36901EFF" w14:textId="77777777" w:rsidR="00870F43" w:rsidRDefault="00870F43" w:rsidP="00870F43">
            <w:pPr>
              <w:pStyle w:val="Default"/>
              <w:rPr>
                <w:rFonts w:ascii="Arial" w:hAnsi="Arial" w:cs="Arial"/>
                <w:color w:val="auto"/>
              </w:rPr>
            </w:pPr>
            <w:r w:rsidRPr="002C6D79">
              <w:rPr>
                <w:rFonts w:ascii="Arial" w:hAnsi="Arial" w:cs="Arial"/>
                <w:color w:val="auto"/>
              </w:rPr>
              <w:t xml:space="preserve">‘Safeguarding duties apply regardless of whether a person’s care and support needs are being met, whether by the local authority or anyone else. They also apply to people who pay for their own care and support services. </w:t>
            </w:r>
          </w:p>
          <w:p w14:paraId="5201F3A1" w14:textId="77777777" w:rsidR="00870F43" w:rsidRPr="002C6D79" w:rsidRDefault="00870F43" w:rsidP="00870F43">
            <w:pPr>
              <w:pStyle w:val="Default"/>
              <w:rPr>
                <w:rFonts w:ascii="Arial" w:hAnsi="Arial" w:cs="Arial"/>
                <w:color w:val="auto"/>
              </w:rPr>
            </w:pPr>
          </w:p>
          <w:p w14:paraId="2FEC3CE8" w14:textId="77777777" w:rsidR="00870F43" w:rsidRPr="002C6D79" w:rsidRDefault="00870F43" w:rsidP="00870F43">
            <w:pPr>
              <w:pStyle w:val="Default"/>
              <w:rPr>
                <w:rFonts w:ascii="Arial" w:hAnsi="Arial" w:cs="Arial"/>
                <w:color w:val="auto"/>
              </w:rPr>
            </w:pPr>
            <w:r w:rsidRPr="002C6D79">
              <w:rPr>
                <w:rFonts w:ascii="Arial" w:hAnsi="Arial" w:cs="Arial"/>
                <w:color w:val="auto"/>
              </w:rPr>
              <w:t xml:space="preserve">An adult with care and support needs may be: </w:t>
            </w:r>
          </w:p>
          <w:p w14:paraId="14E96CD2" w14:textId="77777777" w:rsidR="00870F43" w:rsidRPr="002C6D79" w:rsidRDefault="00870F43" w:rsidP="00870F43">
            <w:pPr>
              <w:pStyle w:val="Default"/>
              <w:numPr>
                <w:ilvl w:val="0"/>
                <w:numId w:val="3"/>
              </w:numPr>
              <w:rPr>
                <w:rFonts w:ascii="Arial" w:hAnsi="Arial" w:cs="Arial"/>
                <w:color w:val="auto"/>
              </w:rPr>
            </w:pPr>
            <w:r w:rsidRPr="002C6D79">
              <w:rPr>
                <w:rFonts w:ascii="Arial" w:hAnsi="Arial" w:cs="Arial"/>
                <w:color w:val="auto"/>
              </w:rPr>
              <w:t xml:space="preserve">an older person </w:t>
            </w:r>
          </w:p>
          <w:p w14:paraId="5A007447" w14:textId="77777777" w:rsidR="00870F43" w:rsidRPr="002C6D79" w:rsidRDefault="00870F43" w:rsidP="00870F43">
            <w:pPr>
              <w:pStyle w:val="Default"/>
              <w:numPr>
                <w:ilvl w:val="0"/>
                <w:numId w:val="3"/>
              </w:numPr>
              <w:rPr>
                <w:rFonts w:ascii="Arial" w:hAnsi="Arial" w:cs="Arial"/>
                <w:color w:val="auto"/>
              </w:rPr>
            </w:pPr>
            <w:r w:rsidRPr="002C6D79">
              <w:rPr>
                <w:rFonts w:ascii="Arial" w:hAnsi="Arial" w:cs="Arial"/>
                <w:color w:val="auto"/>
              </w:rPr>
              <w:t xml:space="preserve">a person with a physical disability, a learning </w:t>
            </w:r>
            <w:proofErr w:type="gramStart"/>
            <w:r w:rsidRPr="002C6D79">
              <w:rPr>
                <w:rFonts w:ascii="Arial" w:hAnsi="Arial" w:cs="Arial"/>
                <w:color w:val="auto"/>
              </w:rPr>
              <w:t>difficulty</w:t>
            </w:r>
            <w:proofErr w:type="gramEnd"/>
            <w:r w:rsidRPr="002C6D79">
              <w:rPr>
                <w:rFonts w:ascii="Arial" w:hAnsi="Arial" w:cs="Arial"/>
                <w:color w:val="auto"/>
              </w:rPr>
              <w:t xml:space="preserve"> or a sensory impairment </w:t>
            </w:r>
          </w:p>
          <w:p w14:paraId="5E79A647" w14:textId="77777777" w:rsidR="00870F43" w:rsidRPr="002C6D79" w:rsidRDefault="00870F43" w:rsidP="00870F43">
            <w:pPr>
              <w:pStyle w:val="Default"/>
              <w:numPr>
                <w:ilvl w:val="0"/>
                <w:numId w:val="3"/>
              </w:numPr>
              <w:rPr>
                <w:rFonts w:ascii="Arial" w:hAnsi="Arial" w:cs="Arial"/>
                <w:color w:val="auto"/>
              </w:rPr>
            </w:pPr>
            <w:r w:rsidRPr="002C6D79">
              <w:rPr>
                <w:rFonts w:ascii="Arial" w:hAnsi="Arial" w:cs="Arial"/>
                <w:color w:val="auto"/>
              </w:rPr>
              <w:t xml:space="preserve">someone with mental health needs, including dementia or a personality disorder </w:t>
            </w:r>
          </w:p>
          <w:p w14:paraId="7BECCD80" w14:textId="77777777" w:rsidR="00870F43" w:rsidRDefault="00870F43" w:rsidP="00870F43">
            <w:pPr>
              <w:pStyle w:val="ListParagraph"/>
              <w:numPr>
                <w:ilvl w:val="0"/>
                <w:numId w:val="3"/>
              </w:numPr>
              <w:rPr>
                <w:rFonts w:ascii="Arial" w:hAnsi="Arial" w:cs="Arial"/>
                <w:sz w:val="24"/>
                <w:szCs w:val="24"/>
              </w:rPr>
            </w:pPr>
            <w:r w:rsidRPr="002C6D79">
              <w:rPr>
                <w:rFonts w:ascii="Arial" w:hAnsi="Arial" w:cs="Arial"/>
                <w:sz w:val="24"/>
                <w:szCs w:val="24"/>
              </w:rPr>
              <w:t>a person with a long-term health condition</w:t>
            </w:r>
          </w:p>
          <w:p w14:paraId="4694B44A" w14:textId="77777777" w:rsidR="00870F43" w:rsidRDefault="00870F43" w:rsidP="00870F43">
            <w:pPr>
              <w:pStyle w:val="ListParagraph"/>
              <w:numPr>
                <w:ilvl w:val="0"/>
                <w:numId w:val="3"/>
              </w:numPr>
              <w:rPr>
                <w:rFonts w:ascii="Arial" w:hAnsi="Arial" w:cs="Arial"/>
                <w:sz w:val="24"/>
                <w:szCs w:val="24"/>
              </w:rPr>
            </w:pPr>
            <w:r w:rsidRPr="002824EE">
              <w:rPr>
                <w:rFonts w:ascii="Arial" w:hAnsi="Arial" w:cs="Arial"/>
                <w:sz w:val="24"/>
                <w:szCs w:val="24"/>
              </w:rPr>
              <w:lastRenderedPageBreak/>
              <w:t xml:space="preserve">someone who misuses substances or alcohol to the extent that it affects their ability to manage day-to-day living’  </w:t>
            </w:r>
          </w:p>
          <w:p w14:paraId="51D56069" w14:textId="77777777" w:rsidR="00870F43" w:rsidRDefault="00870F43" w:rsidP="00870F43">
            <w:pPr>
              <w:rPr>
                <w:rFonts w:ascii="Arial" w:hAnsi="Arial" w:cs="Arial"/>
                <w:sz w:val="24"/>
                <w:szCs w:val="24"/>
              </w:rPr>
            </w:pPr>
          </w:p>
          <w:p w14:paraId="01E07AB5" w14:textId="77777777" w:rsidR="00870F43" w:rsidRPr="002824EE" w:rsidRDefault="00870F43" w:rsidP="00870F43">
            <w:pPr>
              <w:rPr>
                <w:rFonts w:ascii="Arial" w:hAnsi="Arial" w:cs="Arial"/>
                <w:sz w:val="24"/>
                <w:szCs w:val="24"/>
              </w:rPr>
            </w:pPr>
            <w:r w:rsidRPr="002824EE">
              <w:rPr>
                <w:rFonts w:ascii="Arial" w:hAnsi="Arial" w:cs="Arial"/>
                <w:sz w:val="24"/>
                <w:szCs w:val="24"/>
              </w:rPr>
              <w:t>(Adult Safeguarding Practice Questions SCIE July 2018</w:t>
            </w:r>
            <w:r>
              <w:rPr>
                <w:rFonts w:ascii="Arial" w:hAnsi="Arial" w:cs="Arial"/>
                <w:sz w:val="24"/>
                <w:szCs w:val="24"/>
              </w:rPr>
              <w:t>)</w:t>
            </w:r>
            <w:r w:rsidRPr="002C6D79">
              <w:rPr>
                <w:vertAlign w:val="superscript"/>
              </w:rPr>
              <w:footnoteReference w:id="2"/>
            </w:r>
            <w:r w:rsidRPr="002824EE">
              <w:rPr>
                <w:rFonts w:ascii="Arial" w:hAnsi="Arial" w:cs="Arial"/>
                <w:sz w:val="24"/>
                <w:szCs w:val="24"/>
              </w:rPr>
              <w:t xml:space="preserve"> </w:t>
            </w:r>
          </w:p>
          <w:p w14:paraId="1BD02E13" w14:textId="77777777" w:rsidR="00870F43" w:rsidRPr="002C6D79" w:rsidRDefault="00870F43" w:rsidP="00870F43">
            <w:pPr>
              <w:numPr>
                <w:ilvl w:val="0"/>
                <w:numId w:val="1"/>
              </w:numPr>
              <w:autoSpaceDE w:val="0"/>
              <w:autoSpaceDN w:val="0"/>
              <w:adjustRightInd w:val="0"/>
              <w:rPr>
                <w:rFonts w:ascii="Arial" w:hAnsi="Arial" w:cs="Arial"/>
                <w:sz w:val="24"/>
                <w:szCs w:val="24"/>
              </w:rPr>
            </w:pPr>
          </w:p>
          <w:p w14:paraId="1C844ADA" w14:textId="77777777" w:rsidR="00870F43" w:rsidRPr="002C6D79" w:rsidRDefault="00870F43" w:rsidP="00870F43">
            <w:pPr>
              <w:autoSpaceDE w:val="0"/>
              <w:autoSpaceDN w:val="0"/>
              <w:adjustRightInd w:val="0"/>
              <w:rPr>
                <w:rFonts w:ascii="Arial" w:hAnsi="Arial" w:cs="Arial"/>
                <w:b/>
                <w:bCs/>
                <w:sz w:val="24"/>
                <w:szCs w:val="24"/>
              </w:rPr>
            </w:pPr>
            <w:r w:rsidRPr="002C6D79">
              <w:rPr>
                <w:rFonts w:ascii="Arial" w:hAnsi="Arial" w:cs="Arial"/>
                <w:sz w:val="24"/>
                <w:szCs w:val="24"/>
              </w:rPr>
              <w:t xml:space="preserve">Consideration of this need for ‘care and support’ must be person-centred (for example, not all older people will be in need of care and support but those who are ‘frail due to ill health, physical disability or cognitive impairment’ may be). </w:t>
            </w:r>
            <w:r w:rsidRPr="002C6D79">
              <w:rPr>
                <w:rFonts w:ascii="Arial" w:hAnsi="Arial" w:cs="Arial"/>
                <w:b/>
                <w:bCs/>
                <w:sz w:val="24"/>
                <w:szCs w:val="24"/>
              </w:rPr>
              <w:t xml:space="preserve">The above is not an exhaustive list and it must be considered alongside the impact of needs on the individual’s wellbeing. </w:t>
            </w:r>
          </w:p>
          <w:p w14:paraId="1A383D4D" w14:textId="77777777" w:rsidR="00870F43" w:rsidRPr="002C6D79" w:rsidRDefault="00870F43" w:rsidP="00870F43">
            <w:pPr>
              <w:autoSpaceDE w:val="0"/>
              <w:autoSpaceDN w:val="0"/>
              <w:adjustRightInd w:val="0"/>
              <w:rPr>
                <w:rFonts w:ascii="Arial" w:hAnsi="Arial" w:cs="Arial"/>
                <w:b/>
                <w:bCs/>
                <w:sz w:val="24"/>
                <w:szCs w:val="24"/>
              </w:rPr>
            </w:pPr>
          </w:p>
          <w:p w14:paraId="6324CAC9" w14:textId="7A947DF9" w:rsidR="00870F43" w:rsidRPr="00EE70B6" w:rsidRDefault="00870F43" w:rsidP="00870F43">
            <w:pPr>
              <w:autoSpaceDE w:val="0"/>
              <w:autoSpaceDN w:val="0"/>
              <w:adjustRightInd w:val="0"/>
              <w:rPr>
                <w:rFonts w:ascii="Arial" w:hAnsi="Arial" w:cs="Arial"/>
                <w:sz w:val="24"/>
                <w:szCs w:val="24"/>
              </w:rPr>
            </w:pPr>
            <w:r w:rsidRPr="002C6D79">
              <w:rPr>
                <w:rFonts w:ascii="Arial" w:hAnsi="Arial" w:cs="Arial"/>
                <w:sz w:val="24"/>
                <w:szCs w:val="24"/>
              </w:rPr>
              <w:t>This issue of impact of care and support needs on wellbeing is dealt with in the Care and Support (Eligibility Criteria) Regulations, 2014.</w:t>
            </w:r>
            <w:r w:rsidRPr="002C6D79">
              <w:rPr>
                <w:rFonts w:ascii="Arial" w:hAnsi="Arial" w:cs="Arial"/>
                <w:sz w:val="24"/>
                <w:szCs w:val="24"/>
                <w:vertAlign w:val="superscript"/>
              </w:rPr>
              <w:footnoteReference w:id="3"/>
            </w:r>
            <w:r w:rsidRPr="002C6D79">
              <w:rPr>
                <w:rFonts w:ascii="Arial" w:hAnsi="Arial" w:cs="Arial"/>
                <w:sz w:val="24"/>
                <w:szCs w:val="24"/>
              </w:rPr>
              <w:t xml:space="preserve"> </w:t>
            </w:r>
            <w:r>
              <w:rPr>
                <w:rFonts w:ascii="Arial" w:hAnsi="Arial" w:cs="Arial"/>
                <w:sz w:val="24"/>
                <w:szCs w:val="24"/>
              </w:rPr>
              <w:t xml:space="preserve"> </w:t>
            </w:r>
            <w:r w:rsidRPr="00067006">
              <w:rPr>
                <w:rFonts w:ascii="Arial" w:hAnsi="Arial" w:cs="Arial"/>
                <w:sz w:val="24"/>
                <w:szCs w:val="24"/>
              </w:rPr>
              <w:t xml:space="preserve">These regulations in defining ‘care and support’ needs say simply that adults who have care and support needs are those where ‘the adult’s needs arise from or are related to a physical or mental impairment or illness’. These regulations refer to circumstances where, </w:t>
            </w:r>
            <w:proofErr w:type="gramStart"/>
            <w:r w:rsidRPr="00067006">
              <w:rPr>
                <w:rFonts w:ascii="Arial" w:hAnsi="Arial" w:cs="Arial"/>
                <w:sz w:val="24"/>
                <w:szCs w:val="24"/>
              </w:rPr>
              <w:t>as a result of</w:t>
            </w:r>
            <w:proofErr w:type="gramEnd"/>
            <w:r w:rsidRPr="00067006">
              <w:rPr>
                <w:rFonts w:ascii="Arial" w:hAnsi="Arial" w:cs="Arial"/>
                <w:sz w:val="24"/>
                <w:szCs w:val="24"/>
              </w:rPr>
              <w:t xml:space="preserve"> identified needs an adult is unable to achieve specified outcomes, including in relation to basic daily needs</w:t>
            </w:r>
            <w:r>
              <w:rPr>
                <w:rFonts w:ascii="Arial" w:hAnsi="Arial" w:cs="Arial"/>
                <w:sz w:val="24"/>
                <w:szCs w:val="24"/>
              </w:rPr>
              <w:t xml:space="preserve">.  </w:t>
            </w:r>
            <w:r w:rsidRPr="002C6D79">
              <w:rPr>
                <w:rFonts w:ascii="Arial" w:hAnsi="Arial" w:cs="Arial"/>
                <w:b/>
                <w:bCs/>
                <w:sz w:val="24"/>
                <w:szCs w:val="24"/>
              </w:rPr>
              <w:t>It must be noted that an individual does not have to be eligible for ‘care and support’ under the eligibility regulations for a safeguarding concern to be raised or for the local authority S42 duty to apply</w:t>
            </w:r>
            <w:r w:rsidRPr="002C6D79">
              <w:rPr>
                <w:rFonts w:ascii="Arial" w:hAnsi="Arial" w:cs="Arial"/>
                <w:sz w:val="24"/>
                <w:szCs w:val="24"/>
              </w:rPr>
              <w:t xml:space="preserve">. </w:t>
            </w:r>
          </w:p>
        </w:tc>
      </w:tr>
      <w:tr w:rsidR="002C6D79" w:rsidRPr="002C6D79" w14:paraId="3C4C6035" w14:textId="77777777" w:rsidTr="00870F43">
        <w:trPr>
          <w:trHeight w:val="841"/>
        </w:trPr>
        <w:tc>
          <w:tcPr>
            <w:tcW w:w="3539" w:type="dxa"/>
          </w:tcPr>
          <w:p w14:paraId="7E3519C5" w14:textId="78226908" w:rsidR="00875D4A" w:rsidRPr="002C6D79" w:rsidRDefault="00875D4A" w:rsidP="00875D4A">
            <w:pPr>
              <w:rPr>
                <w:sz w:val="24"/>
                <w:szCs w:val="24"/>
              </w:rPr>
            </w:pPr>
            <w:r w:rsidRPr="002C6D79">
              <w:rPr>
                <w:rFonts w:ascii="Arial" w:hAnsi="Arial" w:cs="Arial"/>
                <w:b/>
                <w:bCs/>
                <w:sz w:val="24"/>
                <w:szCs w:val="24"/>
              </w:rPr>
              <w:lastRenderedPageBreak/>
              <w:t>‘is experiencing, or at risk of, abuse or neglect’</w:t>
            </w:r>
          </w:p>
        </w:tc>
        <w:tc>
          <w:tcPr>
            <w:tcW w:w="10779" w:type="dxa"/>
          </w:tcPr>
          <w:p w14:paraId="7D491175" w14:textId="77777777" w:rsidR="00870F43" w:rsidRPr="002C6D79" w:rsidRDefault="00870F43" w:rsidP="00870F43">
            <w:pPr>
              <w:rPr>
                <w:rFonts w:ascii="Arial" w:hAnsi="Arial" w:cs="Arial"/>
                <w:sz w:val="24"/>
                <w:szCs w:val="24"/>
              </w:rPr>
            </w:pPr>
            <w:r w:rsidRPr="002C6D79">
              <w:rPr>
                <w:rFonts w:ascii="Arial" w:hAnsi="Arial" w:cs="Arial"/>
                <w:sz w:val="24"/>
                <w:szCs w:val="24"/>
              </w:rPr>
              <w:t xml:space="preserve">This is </w:t>
            </w:r>
            <w:r>
              <w:rPr>
                <w:rFonts w:ascii="Arial" w:hAnsi="Arial" w:cs="Arial"/>
                <w:sz w:val="24"/>
                <w:szCs w:val="24"/>
              </w:rPr>
              <w:t xml:space="preserve">clearly </w:t>
            </w:r>
            <w:r w:rsidRPr="002C6D79">
              <w:rPr>
                <w:rFonts w:ascii="Arial" w:hAnsi="Arial" w:cs="Arial"/>
                <w:sz w:val="24"/>
                <w:szCs w:val="24"/>
              </w:rPr>
              <w:t>defined in the Care and Support Statutory Guidance (DHSC, 2020) and is the shared definition promoted in this framework on safeguarding concerns.</w:t>
            </w:r>
            <w:r w:rsidRPr="002C6D79">
              <w:rPr>
                <w:rFonts w:ascii="Arial" w:hAnsi="Arial" w:cs="Arial"/>
                <w:sz w:val="24"/>
                <w:szCs w:val="24"/>
                <w:vertAlign w:val="superscript"/>
              </w:rPr>
              <w:footnoteReference w:id="4"/>
            </w:r>
            <w:r w:rsidRPr="002C6D79">
              <w:rPr>
                <w:rFonts w:ascii="Arial" w:hAnsi="Arial" w:cs="Arial"/>
                <w:sz w:val="24"/>
                <w:szCs w:val="24"/>
              </w:rPr>
              <w:t xml:space="preserve"> Importantly this includes that ‘</w:t>
            </w:r>
            <w:r>
              <w:rPr>
                <w:rFonts w:ascii="Arial" w:hAnsi="Arial" w:cs="Arial"/>
                <w:sz w:val="24"/>
                <w:szCs w:val="24"/>
              </w:rPr>
              <w:t>l</w:t>
            </w:r>
            <w:r w:rsidRPr="002C6D79">
              <w:rPr>
                <w:rFonts w:ascii="Arial" w:hAnsi="Arial" w:cs="Arial"/>
                <w:sz w:val="24"/>
                <w:szCs w:val="24"/>
              </w:rPr>
              <w:t xml:space="preserve">ocal authorities should not limit their view of what constitutes abuse or neglect, as they can take many forms and the circumstances of the individual case should always be considered.’ </w:t>
            </w:r>
            <w:r>
              <w:rPr>
                <w:rFonts w:ascii="Arial" w:hAnsi="Arial" w:cs="Arial"/>
                <w:sz w:val="24"/>
                <w:szCs w:val="24"/>
              </w:rPr>
              <w:t>a</w:t>
            </w:r>
            <w:r w:rsidRPr="002C6D79">
              <w:rPr>
                <w:rFonts w:ascii="Arial" w:hAnsi="Arial" w:cs="Arial"/>
                <w:sz w:val="24"/>
                <w:szCs w:val="24"/>
              </w:rPr>
              <w:t>nd ‘</w:t>
            </w:r>
            <w:r>
              <w:rPr>
                <w:rFonts w:ascii="Arial" w:hAnsi="Arial" w:cs="Arial"/>
                <w:sz w:val="24"/>
                <w:szCs w:val="24"/>
              </w:rPr>
              <w:t>t</w:t>
            </w:r>
            <w:r w:rsidRPr="002C6D79">
              <w:rPr>
                <w:rFonts w:ascii="Arial" w:hAnsi="Arial" w:cs="Arial"/>
                <w:sz w:val="24"/>
                <w:szCs w:val="24"/>
              </w:rPr>
              <w:t xml:space="preserve">his is not intended to be an exhaustive list but an illustrative guide as to the sort of behaviour which could give rise to a safeguarding concern’. </w:t>
            </w:r>
          </w:p>
          <w:p w14:paraId="562AA016" w14:textId="772FA6F1" w:rsidR="00875D4A" w:rsidRPr="002C6D79" w:rsidRDefault="00870F43" w:rsidP="00870F43">
            <w:pPr>
              <w:autoSpaceDE w:val="0"/>
              <w:autoSpaceDN w:val="0"/>
              <w:adjustRightInd w:val="0"/>
              <w:rPr>
                <w:sz w:val="24"/>
                <w:szCs w:val="24"/>
              </w:rPr>
            </w:pPr>
            <w:r>
              <w:rPr>
                <w:rFonts w:ascii="Arial" w:hAnsi="Arial" w:cs="Arial"/>
                <w:b/>
                <w:bCs/>
                <w:sz w:val="24"/>
                <w:szCs w:val="24"/>
              </w:rPr>
              <w:lastRenderedPageBreak/>
              <w:t xml:space="preserve">Responses and decisions should be based on personal circumstances. </w:t>
            </w:r>
            <w:r>
              <w:rPr>
                <w:rFonts w:ascii="Arial" w:hAnsi="Arial" w:cs="Arial"/>
                <w:sz w:val="24"/>
                <w:szCs w:val="24"/>
              </w:rPr>
              <w:t xml:space="preserve">In considering individual circumstances, it is important </w:t>
            </w:r>
            <w:r w:rsidRPr="002C6D79">
              <w:rPr>
                <w:rFonts w:ascii="Arial" w:hAnsi="Arial" w:cs="Arial"/>
                <w:sz w:val="24"/>
                <w:szCs w:val="24"/>
              </w:rPr>
              <w:t>to think broadly about what is important to people</w:t>
            </w:r>
            <w:r>
              <w:rPr>
                <w:rFonts w:ascii="Arial" w:hAnsi="Arial" w:cs="Arial"/>
                <w:sz w:val="24"/>
                <w:szCs w:val="24"/>
              </w:rPr>
              <w:t xml:space="preserve"> in terms of both their wellbeing</w:t>
            </w:r>
            <w:r>
              <w:rPr>
                <w:rStyle w:val="FootnoteReference"/>
                <w:rFonts w:ascii="Arial" w:hAnsi="Arial" w:cs="Arial"/>
                <w:sz w:val="24"/>
                <w:szCs w:val="24"/>
              </w:rPr>
              <w:footnoteReference w:id="5"/>
            </w:r>
            <w:r>
              <w:rPr>
                <w:rFonts w:ascii="Arial" w:hAnsi="Arial" w:cs="Arial"/>
                <w:sz w:val="24"/>
                <w:szCs w:val="24"/>
              </w:rPr>
              <w:t xml:space="preserve"> and safety; </w:t>
            </w:r>
            <w:r w:rsidRPr="002C6D79">
              <w:rPr>
                <w:rFonts w:ascii="Arial" w:hAnsi="Arial" w:cs="Arial"/>
                <w:sz w:val="24"/>
                <w:szCs w:val="24"/>
              </w:rPr>
              <w:t>the outcomes that matter to them and why</w:t>
            </w:r>
            <w:r>
              <w:rPr>
                <w:rFonts w:ascii="Arial" w:hAnsi="Arial" w:cs="Arial"/>
                <w:sz w:val="24"/>
                <w:szCs w:val="24"/>
              </w:rPr>
              <w:t>.</w:t>
            </w:r>
            <w:r>
              <w:rPr>
                <w:rStyle w:val="FootnoteReference"/>
                <w:rFonts w:ascii="Arial" w:hAnsi="Arial" w:cs="Arial"/>
                <w:sz w:val="24"/>
                <w:szCs w:val="24"/>
              </w:rPr>
              <w:footnoteReference w:id="6"/>
            </w:r>
            <w:r w:rsidRPr="002C6D79">
              <w:rPr>
                <w:rFonts w:ascii="Arial" w:hAnsi="Arial" w:cs="Arial"/>
                <w:sz w:val="24"/>
                <w:szCs w:val="24"/>
              </w:rPr>
              <w:t xml:space="preserve">  </w:t>
            </w:r>
          </w:p>
        </w:tc>
      </w:tr>
      <w:tr w:rsidR="002C6D79" w:rsidRPr="002C6D79" w14:paraId="4F7FFFAD" w14:textId="77777777" w:rsidTr="00875D4A">
        <w:tc>
          <w:tcPr>
            <w:tcW w:w="3539" w:type="dxa"/>
          </w:tcPr>
          <w:p w14:paraId="53E7E92E" w14:textId="02B630FC" w:rsidR="00875D4A" w:rsidRPr="002C6D79" w:rsidRDefault="00875D4A" w:rsidP="00875D4A">
            <w:pPr>
              <w:rPr>
                <w:rFonts w:ascii="Arial" w:hAnsi="Arial" w:cs="Arial"/>
                <w:b/>
                <w:bCs/>
                <w:sz w:val="24"/>
                <w:szCs w:val="24"/>
              </w:rPr>
            </w:pPr>
            <w:r w:rsidRPr="002C6D79">
              <w:rPr>
                <w:rFonts w:ascii="Arial" w:hAnsi="Arial" w:cs="Arial"/>
                <w:b/>
                <w:bCs/>
                <w:sz w:val="24"/>
                <w:szCs w:val="24"/>
              </w:rPr>
              <w:lastRenderedPageBreak/>
              <w:t>Section 42, Care Act 2014</w:t>
            </w:r>
          </w:p>
        </w:tc>
        <w:tc>
          <w:tcPr>
            <w:tcW w:w="10779" w:type="dxa"/>
          </w:tcPr>
          <w:p w14:paraId="2679B197" w14:textId="77777777" w:rsidR="00870F43" w:rsidRDefault="00870F43" w:rsidP="00870F43">
            <w:pPr>
              <w:autoSpaceDE w:val="0"/>
              <w:autoSpaceDN w:val="0"/>
              <w:adjustRightInd w:val="0"/>
              <w:rPr>
                <w:rFonts w:ascii="Arial" w:hAnsi="Arial" w:cs="Arial"/>
                <w:sz w:val="24"/>
                <w:szCs w:val="24"/>
              </w:rPr>
            </w:pPr>
            <w:r w:rsidRPr="002C6D79">
              <w:rPr>
                <w:rFonts w:ascii="Arial" w:hAnsi="Arial" w:cs="Arial"/>
                <w:sz w:val="24"/>
                <w:szCs w:val="24"/>
              </w:rPr>
              <w:t>Section 42</w:t>
            </w:r>
            <w:r>
              <w:rPr>
                <w:rFonts w:ascii="Arial" w:hAnsi="Arial" w:cs="Arial"/>
                <w:sz w:val="24"/>
                <w:szCs w:val="24"/>
              </w:rPr>
              <w:t xml:space="preserve"> of the Care Act (2014) sets out how each local authority should approach safeguarding enquiries:</w:t>
            </w:r>
          </w:p>
          <w:p w14:paraId="259EC227" w14:textId="77777777" w:rsidR="00870F43" w:rsidRDefault="00870F43" w:rsidP="00870F43">
            <w:pPr>
              <w:autoSpaceDE w:val="0"/>
              <w:autoSpaceDN w:val="0"/>
              <w:adjustRightInd w:val="0"/>
              <w:rPr>
                <w:rFonts w:ascii="Arial" w:hAnsi="Arial" w:cs="Arial"/>
                <w:sz w:val="24"/>
                <w:szCs w:val="24"/>
              </w:rPr>
            </w:pPr>
          </w:p>
          <w:p w14:paraId="568B12E8" w14:textId="77777777" w:rsidR="00870F43" w:rsidRDefault="00870F43" w:rsidP="00870F43">
            <w:pPr>
              <w:autoSpaceDE w:val="0"/>
              <w:autoSpaceDN w:val="0"/>
              <w:adjustRightInd w:val="0"/>
              <w:rPr>
                <w:rFonts w:ascii="Arial" w:hAnsi="Arial" w:cs="Arial"/>
                <w:sz w:val="24"/>
                <w:szCs w:val="24"/>
              </w:rPr>
            </w:pPr>
            <w:r w:rsidRPr="002C6D79">
              <w:rPr>
                <w:rFonts w:ascii="Arial" w:hAnsi="Arial" w:cs="Arial"/>
                <w:sz w:val="24"/>
                <w:szCs w:val="24"/>
              </w:rPr>
              <w:t>(1)</w:t>
            </w:r>
            <w:r>
              <w:rPr>
                <w:rFonts w:ascii="Arial" w:hAnsi="Arial" w:cs="Arial"/>
                <w:sz w:val="24"/>
                <w:szCs w:val="24"/>
              </w:rPr>
              <w:t xml:space="preserve"> </w:t>
            </w:r>
            <w:r w:rsidRPr="002C6D79">
              <w:rPr>
                <w:rFonts w:ascii="Arial" w:hAnsi="Arial" w:cs="Arial"/>
                <w:sz w:val="24"/>
                <w:szCs w:val="24"/>
              </w:rPr>
              <w:t>This section applies where a local authority has reasonable cause to suspect that an adult in its area (</w:t>
            </w:r>
            <w:proofErr w:type="gramStart"/>
            <w:r w:rsidRPr="002C6D79">
              <w:rPr>
                <w:rFonts w:ascii="Arial" w:hAnsi="Arial" w:cs="Arial"/>
                <w:sz w:val="24"/>
                <w:szCs w:val="24"/>
              </w:rPr>
              <w:t>whether or not</w:t>
            </w:r>
            <w:proofErr w:type="gramEnd"/>
            <w:r w:rsidRPr="002C6D79">
              <w:rPr>
                <w:rFonts w:ascii="Arial" w:hAnsi="Arial" w:cs="Arial"/>
                <w:sz w:val="24"/>
                <w:szCs w:val="24"/>
              </w:rPr>
              <w:t xml:space="preserve"> ordinarily resident there)</w:t>
            </w:r>
            <w:r>
              <w:rPr>
                <w:rFonts w:ascii="Arial" w:hAnsi="Arial" w:cs="Arial"/>
                <w:sz w:val="24"/>
                <w:szCs w:val="24"/>
              </w:rPr>
              <w:t xml:space="preserve"> –</w:t>
            </w:r>
            <w:r w:rsidRPr="002C6D79">
              <w:rPr>
                <w:rFonts w:ascii="Arial" w:hAnsi="Arial" w:cs="Arial"/>
                <w:sz w:val="24"/>
                <w:szCs w:val="24"/>
              </w:rPr>
              <w:t xml:space="preserve"> </w:t>
            </w:r>
          </w:p>
          <w:p w14:paraId="306125B9" w14:textId="77777777" w:rsidR="00870F43" w:rsidRDefault="00870F43" w:rsidP="00870F43">
            <w:pPr>
              <w:autoSpaceDE w:val="0"/>
              <w:autoSpaceDN w:val="0"/>
              <w:adjustRightInd w:val="0"/>
              <w:rPr>
                <w:rFonts w:ascii="Arial" w:hAnsi="Arial" w:cs="Arial"/>
                <w:sz w:val="24"/>
                <w:szCs w:val="24"/>
              </w:rPr>
            </w:pPr>
          </w:p>
          <w:p w14:paraId="19F10313" w14:textId="77777777" w:rsidR="00870F43" w:rsidRDefault="00870F43" w:rsidP="00870F43">
            <w:pPr>
              <w:autoSpaceDE w:val="0"/>
              <w:autoSpaceDN w:val="0"/>
              <w:adjustRightInd w:val="0"/>
              <w:rPr>
                <w:rFonts w:ascii="Arial" w:hAnsi="Arial" w:cs="Arial"/>
                <w:sz w:val="24"/>
                <w:szCs w:val="24"/>
              </w:rPr>
            </w:pPr>
            <w:r w:rsidRPr="002C6D79">
              <w:rPr>
                <w:rFonts w:ascii="Arial" w:hAnsi="Arial" w:cs="Arial"/>
                <w:sz w:val="24"/>
                <w:szCs w:val="24"/>
              </w:rPr>
              <w:t>(a)</w:t>
            </w:r>
            <w:r>
              <w:rPr>
                <w:rFonts w:ascii="Arial" w:hAnsi="Arial" w:cs="Arial"/>
                <w:sz w:val="24"/>
                <w:szCs w:val="24"/>
              </w:rPr>
              <w:t xml:space="preserve"> </w:t>
            </w:r>
            <w:r w:rsidRPr="002C6D79">
              <w:rPr>
                <w:rFonts w:ascii="Arial" w:hAnsi="Arial" w:cs="Arial"/>
                <w:sz w:val="24"/>
                <w:szCs w:val="24"/>
              </w:rPr>
              <w:t>has needs for care and support (</w:t>
            </w:r>
            <w:proofErr w:type="gramStart"/>
            <w:r w:rsidRPr="002C6D79">
              <w:rPr>
                <w:rFonts w:ascii="Arial" w:hAnsi="Arial" w:cs="Arial"/>
                <w:sz w:val="24"/>
                <w:szCs w:val="24"/>
              </w:rPr>
              <w:t>whether or not</w:t>
            </w:r>
            <w:proofErr w:type="gramEnd"/>
            <w:r w:rsidRPr="002C6D79">
              <w:rPr>
                <w:rFonts w:ascii="Arial" w:hAnsi="Arial" w:cs="Arial"/>
                <w:sz w:val="24"/>
                <w:szCs w:val="24"/>
              </w:rPr>
              <w:t xml:space="preserve"> the authority is meeting any of those needs), </w:t>
            </w:r>
          </w:p>
          <w:p w14:paraId="4E0FB3B6" w14:textId="77777777" w:rsidR="00870F43" w:rsidRDefault="00870F43" w:rsidP="00870F43">
            <w:pPr>
              <w:autoSpaceDE w:val="0"/>
              <w:autoSpaceDN w:val="0"/>
              <w:adjustRightInd w:val="0"/>
              <w:rPr>
                <w:rFonts w:ascii="Arial" w:hAnsi="Arial" w:cs="Arial"/>
                <w:sz w:val="24"/>
                <w:szCs w:val="24"/>
              </w:rPr>
            </w:pPr>
            <w:r w:rsidRPr="002C6D79">
              <w:rPr>
                <w:rFonts w:ascii="Arial" w:hAnsi="Arial" w:cs="Arial"/>
                <w:sz w:val="24"/>
                <w:szCs w:val="24"/>
              </w:rPr>
              <w:t xml:space="preserve">(b) is experiencing, or is at risk of, abuse or neglect, and </w:t>
            </w:r>
          </w:p>
          <w:p w14:paraId="4B6E35B7" w14:textId="77777777" w:rsidR="00870F43" w:rsidRDefault="00870F43" w:rsidP="00870F43">
            <w:pPr>
              <w:autoSpaceDE w:val="0"/>
              <w:autoSpaceDN w:val="0"/>
              <w:adjustRightInd w:val="0"/>
              <w:rPr>
                <w:rFonts w:ascii="Arial" w:hAnsi="Arial" w:cs="Arial"/>
                <w:sz w:val="24"/>
                <w:szCs w:val="24"/>
              </w:rPr>
            </w:pPr>
            <w:r w:rsidRPr="002C6D79">
              <w:rPr>
                <w:rFonts w:ascii="Arial" w:hAnsi="Arial" w:cs="Arial"/>
                <w:sz w:val="24"/>
                <w:szCs w:val="24"/>
              </w:rPr>
              <w:t>(c)</w:t>
            </w:r>
            <w:r>
              <w:rPr>
                <w:rFonts w:ascii="Arial" w:hAnsi="Arial" w:cs="Arial"/>
                <w:sz w:val="24"/>
                <w:szCs w:val="24"/>
              </w:rPr>
              <w:t xml:space="preserve"> </w:t>
            </w:r>
            <w:proofErr w:type="gramStart"/>
            <w:r w:rsidRPr="002C6D79">
              <w:rPr>
                <w:rFonts w:ascii="Arial" w:hAnsi="Arial" w:cs="Arial"/>
                <w:sz w:val="24"/>
                <w:szCs w:val="24"/>
              </w:rPr>
              <w:t>as a result of</w:t>
            </w:r>
            <w:proofErr w:type="gramEnd"/>
            <w:r w:rsidRPr="002C6D79">
              <w:rPr>
                <w:rFonts w:ascii="Arial" w:hAnsi="Arial" w:cs="Arial"/>
                <w:sz w:val="24"/>
                <w:szCs w:val="24"/>
              </w:rPr>
              <w:t xml:space="preserve"> those needs is unable to protect himself or herself against the abuse or neglect or the risk of it. </w:t>
            </w:r>
          </w:p>
          <w:p w14:paraId="5E0F9D32" w14:textId="77777777" w:rsidR="00870F43" w:rsidRDefault="00870F43" w:rsidP="00870F43">
            <w:pPr>
              <w:autoSpaceDE w:val="0"/>
              <w:autoSpaceDN w:val="0"/>
              <w:adjustRightInd w:val="0"/>
              <w:rPr>
                <w:rFonts w:ascii="Arial" w:hAnsi="Arial" w:cs="Arial"/>
                <w:sz w:val="24"/>
                <w:szCs w:val="24"/>
              </w:rPr>
            </w:pPr>
          </w:p>
          <w:p w14:paraId="02E96979" w14:textId="7A600136" w:rsidR="004B55DB" w:rsidRPr="002C6D79" w:rsidRDefault="00870F43" w:rsidP="00875D4A">
            <w:pPr>
              <w:autoSpaceDE w:val="0"/>
              <w:autoSpaceDN w:val="0"/>
              <w:adjustRightInd w:val="0"/>
              <w:rPr>
                <w:rFonts w:ascii="Arial" w:hAnsi="Arial" w:cs="Arial"/>
                <w:sz w:val="24"/>
                <w:szCs w:val="24"/>
              </w:rPr>
            </w:pPr>
            <w:r w:rsidRPr="002C6D79">
              <w:rPr>
                <w:rFonts w:ascii="Arial" w:hAnsi="Arial" w:cs="Arial"/>
                <w:sz w:val="24"/>
                <w:szCs w:val="24"/>
              </w:rPr>
              <w:t>(2)</w:t>
            </w:r>
            <w:r>
              <w:rPr>
                <w:rFonts w:ascii="Arial" w:hAnsi="Arial" w:cs="Arial"/>
                <w:sz w:val="24"/>
                <w:szCs w:val="24"/>
              </w:rPr>
              <w:t xml:space="preserve"> </w:t>
            </w:r>
            <w:r w:rsidRPr="002C6D79">
              <w:rPr>
                <w:rFonts w:ascii="Arial" w:hAnsi="Arial" w:cs="Arial"/>
                <w:sz w:val="24"/>
                <w:szCs w:val="24"/>
              </w:rPr>
              <w:t>The local authority must make (or cause to be made) whatever enquiries it thinks necessary to enable it to decide whether any action should be taken in the adult’s case (whether under this Part or otherwise) and, if so, what and by whom.</w:t>
            </w:r>
          </w:p>
        </w:tc>
      </w:tr>
    </w:tbl>
    <w:p w14:paraId="2DAE17DE" w14:textId="77777777" w:rsidR="00A33BA9" w:rsidRPr="002C6D79" w:rsidRDefault="00A33BA9">
      <w:pPr>
        <w:rPr>
          <w:sz w:val="24"/>
          <w:szCs w:val="24"/>
        </w:rPr>
      </w:pPr>
    </w:p>
    <w:sectPr w:rsidR="00A33BA9" w:rsidRPr="002C6D79" w:rsidSect="002C6D79">
      <w:pgSz w:w="16838" w:h="11906" w:orient="landscape"/>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7ACA5" w14:textId="77777777" w:rsidR="00C60053" w:rsidRDefault="00C60053" w:rsidP="00875D4A">
      <w:pPr>
        <w:spacing w:after="0" w:line="240" w:lineRule="auto"/>
      </w:pPr>
      <w:r>
        <w:separator/>
      </w:r>
    </w:p>
  </w:endnote>
  <w:endnote w:type="continuationSeparator" w:id="0">
    <w:p w14:paraId="3007B160" w14:textId="77777777" w:rsidR="00C60053" w:rsidRDefault="00C60053" w:rsidP="0087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esta Grand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F43A7" w14:textId="77777777" w:rsidR="00C60053" w:rsidRDefault="00C60053" w:rsidP="00875D4A">
      <w:pPr>
        <w:spacing w:after="0" w:line="240" w:lineRule="auto"/>
      </w:pPr>
      <w:r>
        <w:separator/>
      </w:r>
    </w:p>
  </w:footnote>
  <w:footnote w:type="continuationSeparator" w:id="0">
    <w:p w14:paraId="715AB059" w14:textId="77777777" w:rsidR="00C60053" w:rsidRDefault="00C60053" w:rsidP="00875D4A">
      <w:pPr>
        <w:spacing w:after="0" w:line="240" w:lineRule="auto"/>
      </w:pPr>
      <w:r>
        <w:continuationSeparator/>
      </w:r>
    </w:p>
  </w:footnote>
  <w:footnote w:id="1">
    <w:p w14:paraId="5C4C7681" w14:textId="77777777" w:rsidR="00870F43" w:rsidRPr="00870F43" w:rsidRDefault="00870F43" w:rsidP="00870F43">
      <w:pPr>
        <w:pStyle w:val="FootnoteText"/>
        <w:rPr>
          <w:rFonts w:ascii="Arial" w:hAnsi="Arial" w:cs="Arial"/>
          <w:sz w:val="18"/>
          <w:szCs w:val="18"/>
        </w:rPr>
      </w:pPr>
      <w:r w:rsidRPr="00870F43">
        <w:rPr>
          <w:rStyle w:val="FootnoteReference"/>
          <w:rFonts w:ascii="Arial" w:hAnsi="Arial" w:cs="Arial"/>
          <w:sz w:val="18"/>
          <w:szCs w:val="18"/>
        </w:rPr>
        <w:footnoteRef/>
      </w:r>
      <w:r w:rsidRPr="00870F43">
        <w:rPr>
          <w:rFonts w:ascii="Arial" w:hAnsi="Arial" w:cs="Arial"/>
          <w:sz w:val="18"/>
          <w:szCs w:val="18"/>
        </w:rPr>
        <w:t xml:space="preserve"> Care Act 2014, S42(1) a and b</w:t>
      </w:r>
    </w:p>
  </w:footnote>
  <w:footnote w:id="2">
    <w:p w14:paraId="2DB1B2D8" w14:textId="77777777" w:rsidR="00870F43" w:rsidRPr="00870F43" w:rsidRDefault="00870F43" w:rsidP="00875D4A">
      <w:pPr>
        <w:rPr>
          <w:rFonts w:ascii="Arial" w:hAnsi="Arial" w:cs="Arial"/>
          <w:sz w:val="18"/>
          <w:szCs w:val="18"/>
        </w:rPr>
      </w:pPr>
      <w:r w:rsidRPr="00870F43">
        <w:rPr>
          <w:rStyle w:val="FootnoteReference"/>
          <w:rFonts w:ascii="Arial" w:hAnsi="Arial" w:cs="Arial"/>
          <w:sz w:val="18"/>
          <w:szCs w:val="18"/>
        </w:rPr>
        <w:footnoteRef/>
      </w:r>
      <w:r w:rsidRPr="00870F43">
        <w:rPr>
          <w:rFonts w:ascii="Arial" w:hAnsi="Arial" w:cs="Arial"/>
          <w:sz w:val="18"/>
          <w:szCs w:val="18"/>
        </w:rPr>
        <w:t xml:space="preserve"> </w:t>
      </w:r>
      <w:hyperlink r:id="rId1" w:history="1">
        <w:r w:rsidRPr="00870F43">
          <w:rPr>
            <w:rStyle w:val="Hyperlink"/>
            <w:rFonts w:ascii="Arial" w:hAnsi="Arial" w:cs="Arial"/>
            <w:sz w:val="18"/>
            <w:szCs w:val="18"/>
          </w:rPr>
          <w:t>www.scie.org.uk/safeguarding/adults/practice/questions</w:t>
        </w:r>
      </w:hyperlink>
      <w:r w:rsidRPr="00870F43">
        <w:rPr>
          <w:rFonts w:ascii="Arial" w:hAnsi="Arial" w:cs="Arial"/>
          <w:color w:val="000000"/>
          <w:sz w:val="18"/>
          <w:szCs w:val="18"/>
          <w:u w:val="single"/>
        </w:rPr>
        <w:t xml:space="preserve"> </w:t>
      </w:r>
    </w:p>
  </w:footnote>
  <w:footnote w:id="3">
    <w:p w14:paraId="1526C5D7" w14:textId="77777777" w:rsidR="00870F43" w:rsidRPr="00870F43" w:rsidRDefault="00870F43" w:rsidP="00875D4A">
      <w:pPr>
        <w:pStyle w:val="FootnoteText"/>
        <w:rPr>
          <w:rFonts w:ascii="Arial" w:hAnsi="Arial" w:cs="Arial"/>
          <w:sz w:val="18"/>
          <w:szCs w:val="18"/>
        </w:rPr>
      </w:pPr>
      <w:r w:rsidRPr="00870F43">
        <w:rPr>
          <w:rStyle w:val="FootnoteReference"/>
          <w:rFonts w:ascii="Arial" w:hAnsi="Arial" w:cs="Arial"/>
          <w:sz w:val="18"/>
          <w:szCs w:val="18"/>
        </w:rPr>
        <w:footnoteRef/>
      </w:r>
      <w:r w:rsidRPr="00870F43">
        <w:rPr>
          <w:rFonts w:ascii="Arial" w:hAnsi="Arial" w:cs="Arial"/>
          <w:sz w:val="18"/>
          <w:szCs w:val="18"/>
        </w:rPr>
        <w:t xml:space="preserve"> </w:t>
      </w:r>
      <w:hyperlink r:id="rId2" w:history="1">
        <w:r w:rsidRPr="00870F43">
          <w:rPr>
            <w:rStyle w:val="Hyperlink"/>
            <w:rFonts w:ascii="Arial" w:hAnsi="Arial" w:cs="Arial"/>
            <w:sz w:val="18"/>
            <w:szCs w:val="18"/>
          </w:rPr>
          <w:t>www.legislation.gov.uk/ukdsi/2014/9780111124185</w:t>
        </w:r>
      </w:hyperlink>
      <w:r w:rsidRPr="00870F43">
        <w:rPr>
          <w:rFonts w:ascii="Arial" w:hAnsi="Arial" w:cs="Arial"/>
          <w:sz w:val="18"/>
          <w:szCs w:val="18"/>
          <w:u w:val="single"/>
        </w:rPr>
        <w:t xml:space="preserve"> </w:t>
      </w:r>
    </w:p>
  </w:footnote>
  <w:footnote w:id="4">
    <w:p w14:paraId="7A246C0D" w14:textId="77777777" w:rsidR="00870F43" w:rsidRDefault="00870F43" w:rsidP="00870F43">
      <w:pPr>
        <w:pStyle w:val="FootnoteText"/>
      </w:pPr>
      <w:r w:rsidRPr="00870F43">
        <w:rPr>
          <w:rStyle w:val="FootnoteReference"/>
          <w:rFonts w:ascii="Arial" w:hAnsi="Arial" w:cs="Arial"/>
          <w:sz w:val="18"/>
          <w:szCs w:val="18"/>
        </w:rPr>
        <w:footnoteRef/>
      </w:r>
      <w:r w:rsidRPr="00870F43">
        <w:rPr>
          <w:rFonts w:ascii="Arial" w:hAnsi="Arial" w:cs="Arial"/>
          <w:sz w:val="18"/>
          <w:szCs w:val="18"/>
        </w:rPr>
        <w:t xml:space="preserve"> Paragraphs 14.16-14.17 Care and Support Statutory Guidance, 2020 and including reference </w:t>
      </w:r>
      <w:proofErr w:type="spellStart"/>
      <w:r w:rsidRPr="00870F43">
        <w:rPr>
          <w:rFonts w:ascii="Arial" w:hAnsi="Arial" w:cs="Arial"/>
          <w:sz w:val="18"/>
          <w:szCs w:val="18"/>
        </w:rPr>
        <w:t>too</w:t>
      </w:r>
      <w:proofErr w:type="spellEnd"/>
      <w:r w:rsidRPr="00870F43">
        <w:rPr>
          <w:rFonts w:ascii="Arial" w:hAnsi="Arial" w:cs="Arial"/>
          <w:sz w:val="18"/>
          <w:szCs w:val="18"/>
        </w:rPr>
        <w:t xml:space="preserve"> to 14.18-14.24  </w:t>
      </w:r>
      <w:hyperlink r:id="rId3" w:anchor="safeguarding-1" w:history="1">
        <w:r w:rsidRPr="00870F43">
          <w:rPr>
            <w:rStyle w:val="Hyperlink"/>
            <w:rFonts w:ascii="Arial" w:hAnsi="Arial" w:cs="Arial"/>
            <w:sz w:val="18"/>
            <w:szCs w:val="18"/>
          </w:rPr>
          <w:t>www.gov.uk/government/publications/care-act-statutory-guidance/care-and-support-statutory-guidance#safeguarding-1</w:t>
        </w:r>
      </w:hyperlink>
      <w:r>
        <w:rPr>
          <w:u w:val="single"/>
        </w:rPr>
        <w:t xml:space="preserve"> </w:t>
      </w:r>
    </w:p>
  </w:footnote>
  <w:footnote w:id="5">
    <w:p w14:paraId="62521C57" w14:textId="77777777" w:rsidR="00870F43" w:rsidRPr="00870F43" w:rsidRDefault="00870F43" w:rsidP="00870F43">
      <w:pPr>
        <w:pStyle w:val="FootnoteText"/>
        <w:rPr>
          <w:rFonts w:ascii="Arial" w:hAnsi="Arial" w:cs="Arial"/>
          <w:sz w:val="18"/>
          <w:szCs w:val="18"/>
        </w:rPr>
      </w:pPr>
      <w:r w:rsidRPr="00870F43">
        <w:rPr>
          <w:rStyle w:val="FootnoteReference"/>
          <w:rFonts w:ascii="Arial" w:hAnsi="Arial" w:cs="Arial"/>
          <w:sz w:val="18"/>
          <w:szCs w:val="18"/>
        </w:rPr>
        <w:footnoteRef/>
      </w:r>
      <w:r w:rsidRPr="00870F43">
        <w:rPr>
          <w:rFonts w:ascii="Arial" w:hAnsi="Arial" w:cs="Arial"/>
          <w:sz w:val="18"/>
          <w:szCs w:val="18"/>
        </w:rPr>
        <w:t xml:space="preserve"> </w:t>
      </w:r>
      <w:hyperlink r:id="rId4" w:history="1">
        <w:r w:rsidRPr="00870F43">
          <w:rPr>
            <w:rStyle w:val="Hyperlink"/>
            <w:rFonts w:ascii="Arial" w:hAnsi="Arial" w:cs="Arial"/>
            <w:sz w:val="18"/>
            <w:szCs w:val="18"/>
          </w:rPr>
          <w:t>www.legislation.gov.uk/ukdsi/2014/9780111124185</w:t>
        </w:r>
      </w:hyperlink>
      <w:r w:rsidRPr="00870F43">
        <w:rPr>
          <w:rFonts w:ascii="Arial" w:hAnsi="Arial" w:cs="Arial"/>
          <w:sz w:val="18"/>
          <w:szCs w:val="18"/>
        </w:rPr>
        <w:t xml:space="preserve">  These Care and Support (Eligibility Criteria) Regulations (2014) support consideration of aspects of an individual’s wellbeing.</w:t>
      </w:r>
    </w:p>
  </w:footnote>
  <w:footnote w:id="6">
    <w:p w14:paraId="03162BEC" w14:textId="77777777" w:rsidR="00870F43" w:rsidRPr="00870F43" w:rsidRDefault="00870F43" w:rsidP="00870F43">
      <w:pPr>
        <w:pStyle w:val="FootnoteText"/>
        <w:rPr>
          <w:rFonts w:ascii="Arial" w:hAnsi="Arial" w:cs="Arial"/>
          <w:sz w:val="18"/>
          <w:szCs w:val="18"/>
        </w:rPr>
      </w:pPr>
      <w:r w:rsidRPr="00870F43">
        <w:rPr>
          <w:rStyle w:val="FootnoteReference"/>
          <w:rFonts w:ascii="Arial" w:hAnsi="Arial" w:cs="Arial"/>
          <w:sz w:val="18"/>
          <w:szCs w:val="18"/>
        </w:rPr>
        <w:footnoteRef/>
      </w:r>
      <w:r w:rsidRPr="00870F43">
        <w:rPr>
          <w:rFonts w:ascii="Arial" w:hAnsi="Arial" w:cs="Arial"/>
          <w:sz w:val="18"/>
          <w:szCs w:val="18"/>
        </w:rPr>
        <w:t xml:space="preserve"> Factors listed in 14.99 of the Care and Support Statutory Guidance (2020) support broader thinking about the circumstances under consideration as follows:  </w:t>
      </w:r>
    </w:p>
    <w:p w14:paraId="049FA8F2" w14:textId="77777777" w:rsidR="00870F43" w:rsidRPr="00870F43" w:rsidRDefault="00870F43" w:rsidP="00870F43">
      <w:pPr>
        <w:pStyle w:val="FootnoteText"/>
        <w:rPr>
          <w:rFonts w:ascii="Arial" w:hAnsi="Arial" w:cs="Arial"/>
          <w:sz w:val="18"/>
          <w:szCs w:val="18"/>
          <w:lang w:val="en"/>
        </w:rPr>
      </w:pPr>
      <w:r w:rsidRPr="00870F43">
        <w:rPr>
          <w:rFonts w:ascii="Arial" w:hAnsi="Arial" w:cs="Arial"/>
          <w:sz w:val="18"/>
          <w:szCs w:val="18"/>
          <w:lang w:val="en"/>
        </w:rPr>
        <w:t>14.99 ‘It is important, when considering the management of any intervention or enquiry, to approach reports of incidents or allegations with an open mind. In considering how to respond the following factors need to be considered:</w:t>
      </w:r>
    </w:p>
    <w:p w14:paraId="7C2105D5" w14:textId="77777777" w:rsidR="00870F43" w:rsidRPr="00870F43" w:rsidRDefault="00870F43" w:rsidP="00870F43">
      <w:pPr>
        <w:pStyle w:val="FootnoteText"/>
        <w:numPr>
          <w:ilvl w:val="0"/>
          <w:numId w:val="2"/>
        </w:numPr>
        <w:rPr>
          <w:rFonts w:ascii="Arial" w:hAnsi="Arial" w:cs="Arial"/>
          <w:sz w:val="18"/>
          <w:szCs w:val="18"/>
          <w:lang w:val="en"/>
        </w:rPr>
      </w:pPr>
      <w:r w:rsidRPr="00870F43">
        <w:rPr>
          <w:rFonts w:ascii="Arial" w:hAnsi="Arial" w:cs="Arial"/>
          <w:sz w:val="18"/>
          <w:szCs w:val="18"/>
          <w:lang w:val="en"/>
        </w:rPr>
        <w:t>the adult’s needs for care and support</w:t>
      </w:r>
    </w:p>
    <w:p w14:paraId="19E9BCE0" w14:textId="77777777" w:rsidR="00870F43" w:rsidRPr="00870F43" w:rsidRDefault="00870F43" w:rsidP="00870F43">
      <w:pPr>
        <w:pStyle w:val="FootnoteText"/>
        <w:numPr>
          <w:ilvl w:val="0"/>
          <w:numId w:val="2"/>
        </w:numPr>
        <w:rPr>
          <w:rFonts w:ascii="Arial" w:hAnsi="Arial" w:cs="Arial"/>
          <w:sz w:val="18"/>
          <w:szCs w:val="18"/>
          <w:lang w:val="en"/>
        </w:rPr>
      </w:pPr>
      <w:r w:rsidRPr="00870F43">
        <w:rPr>
          <w:rFonts w:ascii="Arial" w:hAnsi="Arial" w:cs="Arial"/>
          <w:sz w:val="18"/>
          <w:szCs w:val="18"/>
          <w:lang w:val="en"/>
        </w:rPr>
        <w:t>the adult’s risk of abuse or neglect</w:t>
      </w:r>
    </w:p>
    <w:p w14:paraId="36FF9559" w14:textId="77777777" w:rsidR="00870F43" w:rsidRPr="00870F43" w:rsidRDefault="00870F43" w:rsidP="00870F43">
      <w:pPr>
        <w:pStyle w:val="FootnoteText"/>
        <w:numPr>
          <w:ilvl w:val="0"/>
          <w:numId w:val="2"/>
        </w:numPr>
        <w:rPr>
          <w:rFonts w:ascii="Arial" w:hAnsi="Arial" w:cs="Arial"/>
          <w:sz w:val="18"/>
          <w:szCs w:val="18"/>
          <w:lang w:val="en"/>
        </w:rPr>
      </w:pPr>
      <w:r w:rsidRPr="00870F43">
        <w:rPr>
          <w:rFonts w:ascii="Arial" w:hAnsi="Arial" w:cs="Arial"/>
          <w:sz w:val="18"/>
          <w:szCs w:val="18"/>
          <w:lang w:val="en"/>
        </w:rPr>
        <w:t>the adult’s ability to protect themselves or the ability of their networks to increase the support they offer</w:t>
      </w:r>
    </w:p>
    <w:p w14:paraId="0611451D" w14:textId="77777777" w:rsidR="00870F43" w:rsidRPr="00870F43" w:rsidRDefault="00870F43" w:rsidP="00870F43">
      <w:pPr>
        <w:pStyle w:val="FootnoteText"/>
        <w:numPr>
          <w:ilvl w:val="0"/>
          <w:numId w:val="2"/>
        </w:numPr>
        <w:rPr>
          <w:rFonts w:ascii="Arial" w:hAnsi="Arial" w:cs="Arial"/>
          <w:sz w:val="18"/>
          <w:szCs w:val="18"/>
          <w:lang w:val="en"/>
        </w:rPr>
      </w:pPr>
      <w:r w:rsidRPr="00870F43">
        <w:rPr>
          <w:rFonts w:ascii="Arial" w:hAnsi="Arial" w:cs="Arial"/>
          <w:sz w:val="18"/>
          <w:szCs w:val="18"/>
          <w:lang w:val="en"/>
        </w:rPr>
        <w:t>the impact on the adult, their wishes</w:t>
      </w:r>
    </w:p>
    <w:p w14:paraId="5F950B7A" w14:textId="77777777" w:rsidR="00870F43" w:rsidRPr="00870F43" w:rsidRDefault="00870F43" w:rsidP="00870F43">
      <w:pPr>
        <w:pStyle w:val="FootnoteText"/>
        <w:numPr>
          <w:ilvl w:val="0"/>
          <w:numId w:val="2"/>
        </w:numPr>
        <w:rPr>
          <w:rFonts w:ascii="Arial" w:hAnsi="Arial" w:cs="Arial"/>
          <w:sz w:val="18"/>
          <w:szCs w:val="18"/>
          <w:lang w:val="en"/>
        </w:rPr>
      </w:pPr>
      <w:r w:rsidRPr="00870F43">
        <w:rPr>
          <w:rFonts w:ascii="Arial" w:hAnsi="Arial" w:cs="Arial"/>
          <w:sz w:val="18"/>
          <w:szCs w:val="18"/>
          <w:lang w:val="en"/>
        </w:rPr>
        <w:t>the possible impact on important relationships</w:t>
      </w:r>
    </w:p>
    <w:p w14:paraId="73E62C05" w14:textId="77777777" w:rsidR="00870F43" w:rsidRPr="00870F43" w:rsidRDefault="00870F43" w:rsidP="00870F43">
      <w:pPr>
        <w:pStyle w:val="FootnoteText"/>
        <w:numPr>
          <w:ilvl w:val="0"/>
          <w:numId w:val="2"/>
        </w:numPr>
        <w:rPr>
          <w:rFonts w:ascii="Arial" w:hAnsi="Arial" w:cs="Arial"/>
          <w:sz w:val="18"/>
          <w:szCs w:val="18"/>
          <w:lang w:val="en"/>
        </w:rPr>
      </w:pPr>
      <w:r w:rsidRPr="00870F43">
        <w:rPr>
          <w:rFonts w:ascii="Arial" w:hAnsi="Arial" w:cs="Arial"/>
          <w:sz w:val="18"/>
          <w:szCs w:val="18"/>
          <w:lang w:val="en"/>
        </w:rPr>
        <w:t>potential of action and increasing risk to the adult</w:t>
      </w:r>
    </w:p>
    <w:p w14:paraId="6033C0D0" w14:textId="77777777" w:rsidR="00870F43" w:rsidRPr="00870F43" w:rsidRDefault="00870F43" w:rsidP="00870F43">
      <w:pPr>
        <w:pStyle w:val="FootnoteText"/>
        <w:numPr>
          <w:ilvl w:val="0"/>
          <w:numId w:val="2"/>
        </w:numPr>
        <w:rPr>
          <w:rFonts w:ascii="Arial" w:hAnsi="Arial" w:cs="Arial"/>
          <w:sz w:val="18"/>
          <w:szCs w:val="18"/>
          <w:lang w:val="en"/>
        </w:rPr>
      </w:pPr>
      <w:r w:rsidRPr="00870F43">
        <w:rPr>
          <w:rFonts w:ascii="Arial" w:hAnsi="Arial" w:cs="Arial"/>
          <w:sz w:val="18"/>
          <w:szCs w:val="18"/>
          <w:lang w:val="en"/>
        </w:rPr>
        <w:t>the risk of repeated or increasingly serious acts involving children, or another adult at risk of abuse or neglect</w:t>
      </w:r>
    </w:p>
    <w:p w14:paraId="3C78D549" w14:textId="77777777" w:rsidR="00870F43" w:rsidRPr="00870F43" w:rsidRDefault="00870F43" w:rsidP="00870F43">
      <w:pPr>
        <w:pStyle w:val="FootnoteText"/>
        <w:numPr>
          <w:ilvl w:val="0"/>
          <w:numId w:val="2"/>
        </w:numPr>
        <w:rPr>
          <w:rFonts w:ascii="Arial" w:hAnsi="Arial" w:cs="Arial"/>
          <w:sz w:val="18"/>
          <w:szCs w:val="18"/>
          <w:lang w:val="en"/>
        </w:rPr>
      </w:pPr>
      <w:r w:rsidRPr="00870F43">
        <w:rPr>
          <w:rFonts w:ascii="Arial" w:hAnsi="Arial" w:cs="Arial"/>
          <w:sz w:val="18"/>
          <w:szCs w:val="18"/>
          <w:lang w:val="en"/>
        </w:rPr>
        <w:t>the responsibility of the person or organisation that has caused the abuse or neglect</w:t>
      </w:r>
    </w:p>
    <w:p w14:paraId="029B36AD" w14:textId="77777777" w:rsidR="00870F43" w:rsidRPr="00870F43" w:rsidRDefault="00870F43" w:rsidP="00870F43">
      <w:pPr>
        <w:pStyle w:val="FootnoteText"/>
        <w:numPr>
          <w:ilvl w:val="0"/>
          <w:numId w:val="2"/>
        </w:numPr>
        <w:rPr>
          <w:rFonts w:ascii="Arial" w:hAnsi="Arial" w:cs="Arial"/>
          <w:sz w:val="18"/>
          <w:szCs w:val="18"/>
          <w:lang w:val="en"/>
        </w:rPr>
      </w:pPr>
      <w:r w:rsidRPr="00870F43">
        <w:rPr>
          <w:rFonts w:ascii="Arial" w:hAnsi="Arial" w:cs="Arial"/>
          <w:sz w:val="18"/>
          <w:szCs w:val="18"/>
          <w:lang w:val="en"/>
        </w:rPr>
        <w:t>research evidence to support any intervention’</w:t>
      </w:r>
    </w:p>
    <w:p w14:paraId="178D4691" w14:textId="77777777" w:rsidR="00870F43" w:rsidRDefault="00870F43" w:rsidP="00870F4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455B"/>
    <w:multiLevelType w:val="multilevel"/>
    <w:tmpl w:val="039A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D16A1"/>
    <w:multiLevelType w:val="hybridMultilevel"/>
    <w:tmpl w:val="BBF542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E0342A"/>
    <w:multiLevelType w:val="hybridMultilevel"/>
    <w:tmpl w:val="F19C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4A"/>
    <w:rsid w:val="00004DD4"/>
    <w:rsid w:val="00056E1D"/>
    <w:rsid w:val="00067006"/>
    <w:rsid w:val="00090BC0"/>
    <w:rsid w:val="000A15F4"/>
    <w:rsid w:val="001C474D"/>
    <w:rsid w:val="001D423B"/>
    <w:rsid w:val="00233754"/>
    <w:rsid w:val="00251374"/>
    <w:rsid w:val="00261058"/>
    <w:rsid w:val="002824EE"/>
    <w:rsid w:val="002C6D79"/>
    <w:rsid w:val="00336ACF"/>
    <w:rsid w:val="00414976"/>
    <w:rsid w:val="00422709"/>
    <w:rsid w:val="004576B0"/>
    <w:rsid w:val="004B55DB"/>
    <w:rsid w:val="0059125B"/>
    <w:rsid w:val="005E2F29"/>
    <w:rsid w:val="00734403"/>
    <w:rsid w:val="0085172F"/>
    <w:rsid w:val="00870B7B"/>
    <w:rsid w:val="00870F43"/>
    <w:rsid w:val="00873BED"/>
    <w:rsid w:val="00875D4A"/>
    <w:rsid w:val="00972A08"/>
    <w:rsid w:val="00A33BA9"/>
    <w:rsid w:val="00A93C23"/>
    <w:rsid w:val="00C400ED"/>
    <w:rsid w:val="00C60053"/>
    <w:rsid w:val="00C8252F"/>
    <w:rsid w:val="00CC1B47"/>
    <w:rsid w:val="00CF772E"/>
    <w:rsid w:val="00EE135E"/>
    <w:rsid w:val="00EE70B6"/>
    <w:rsid w:val="00EF0C7E"/>
    <w:rsid w:val="00FD49C3"/>
    <w:rsid w:val="00FE2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29EA"/>
  <w15:chartTrackingRefBased/>
  <w15:docId w15:val="{300939EA-865F-446E-BA22-8BAD531C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5D4A"/>
    <w:pPr>
      <w:autoSpaceDE w:val="0"/>
      <w:autoSpaceDN w:val="0"/>
      <w:adjustRightInd w:val="0"/>
      <w:spacing w:after="0" w:line="240" w:lineRule="auto"/>
    </w:pPr>
    <w:rPr>
      <w:rFonts w:ascii="Questa Grande" w:hAnsi="Questa Grande" w:cs="Questa Grande"/>
      <w:color w:val="000000"/>
      <w:sz w:val="24"/>
      <w:szCs w:val="24"/>
    </w:rPr>
  </w:style>
  <w:style w:type="table" w:styleId="TableGrid">
    <w:name w:val="Table Grid"/>
    <w:basedOn w:val="TableNormal"/>
    <w:uiPriority w:val="39"/>
    <w:rsid w:val="0087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875D4A"/>
    <w:pPr>
      <w:spacing w:line="221" w:lineRule="atLeast"/>
    </w:pPr>
    <w:rPr>
      <w:rFonts w:cstheme="minorBidi"/>
      <w:color w:val="auto"/>
    </w:rPr>
  </w:style>
  <w:style w:type="character" w:styleId="Hyperlink">
    <w:name w:val="Hyperlink"/>
    <w:basedOn w:val="DefaultParagraphFont"/>
    <w:uiPriority w:val="99"/>
    <w:unhideWhenUsed/>
    <w:rsid w:val="00875D4A"/>
    <w:rPr>
      <w:color w:val="0563C1" w:themeColor="hyperlink"/>
      <w:u w:val="single"/>
    </w:rPr>
  </w:style>
  <w:style w:type="character" w:styleId="FootnoteReference">
    <w:name w:val="footnote reference"/>
    <w:basedOn w:val="DefaultParagraphFont"/>
    <w:uiPriority w:val="99"/>
    <w:unhideWhenUsed/>
    <w:rsid w:val="00875D4A"/>
    <w:rPr>
      <w:vertAlign w:val="superscript"/>
    </w:rPr>
  </w:style>
  <w:style w:type="paragraph" w:styleId="FootnoteText">
    <w:name w:val="footnote text"/>
    <w:basedOn w:val="Normal"/>
    <w:link w:val="FootnoteTextChar"/>
    <w:uiPriority w:val="99"/>
    <w:unhideWhenUsed/>
    <w:rsid w:val="00875D4A"/>
    <w:pPr>
      <w:spacing w:after="0" w:line="240" w:lineRule="auto"/>
    </w:pPr>
    <w:rPr>
      <w:sz w:val="20"/>
      <w:szCs w:val="20"/>
    </w:rPr>
  </w:style>
  <w:style w:type="character" w:customStyle="1" w:styleId="FootnoteTextChar">
    <w:name w:val="Footnote Text Char"/>
    <w:basedOn w:val="DefaultParagraphFont"/>
    <w:link w:val="FootnoteText"/>
    <w:uiPriority w:val="99"/>
    <w:rsid w:val="00875D4A"/>
    <w:rPr>
      <w:sz w:val="20"/>
      <w:szCs w:val="20"/>
    </w:rPr>
  </w:style>
  <w:style w:type="paragraph" w:styleId="ListParagraph">
    <w:name w:val="List Paragraph"/>
    <w:basedOn w:val="Normal"/>
    <w:uiPriority w:val="34"/>
    <w:qFormat/>
    <w:rsid w:val="00090BC0"/>
    <w:pPr>
      <w:ind w:left="720"/>
      <w:contextualSpacing/>
    </w:pPr>
  </w:style>
  <w:style w:type="paragraph" w:styleId="Header">
    <w:name w:val="header"/>
    <w:basedOn w:val="Normal"/>
    <w:link w:val="HeaderChar"/>
    <w:uiPriority w:val="99"/>
    <w:unhideWhenUsed/>
    <w:rsid w:val="002C6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D79"/>
  </w:style>
  <w:style w:type="paragraph" w:styleId="Footer">
    <w:name w:val="footer"/>
    <w:basedOn w:val="Normal"/>
    <w:link w:val="FooterChar"/>
    <w:uiPriority w:val="99"/>
    <w:unhideWhenUsed/>
    <w:rsid w:val="002C6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D79"/>
  </w:style>
  <w:style w:type="paragraph" w:styleId="BalloonText">
    <w:name w:val="Balloon Text"/>
    <w:basedOn w:val="Normal"/>
    <w:link w:val="BalloonTextChar"/>
    <w:uiPriority w:val="99"/>
    <w:semiHidden/>
    <w:unhideWhenUsed/>
    <w:rsid w:val="00C82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2F"/>
    <w:rPr>
      <w:rFonts w:ascii="Segoe UI" w:hAnsi="Segoe UI" w:cs="Segoe UI"/>
      <w:sz w:val="18"/>
      <w:szCs w:val="18"/>
    </w:rPr>
  </w:style>
  <w:style w:type="character" w:styleId="UnresolvedMention">
    <w:name w:val="Unresolved Mention"/>
    <w:basedOn w:val="DefaultParagraphFont"/>
    <w:uiPriority w:val="99"/>
    <w:semiHidden/>
    <w:unhideWhenUsed/>
    <w:rsid w:val="00870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care-act-statutory-guidance/care-and-support-statutory-guidance" TargetMode="External"/><Relationship Id="rId2" Type="http://schemas.openxmlformats.org/officeDocument/2006/relationships/hyperlink" Target="http://www.legislation.gov.uk/ukdsi/2014/9780111124185" TargetMode="External"/><Relationship Id="rId1" Type="http://schemas.openxmlformats.org/officeDocument/2006/relationships/hyperlink" Target="http://www.scie.org.uk/safeguarding/adults/practice/questions" TargetMode="External"/><Relationship Id="rId4" Type="http://schemas.openxmlformats.org/officeDocument/2006/relationships/hyperlink" Target="http://www.legislation.gov.uk/ukdsi/2014/9780111124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6D386-1BBD-4E95-B819-0E55C894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Making Connections IOW Ltd</dc:creator>
  <cp:keywords/>
  <dc:description/>
  <cp:lastModifiedBy>Les DuBock</cp:lastModifiedBy>
  <cp:revision>2</cp:revision>
  <dcterms:created xsi:type="dcterms:W3CDTF">2020-11-18T10:45:00Z</dcterms:created>
  <dcterms:modified xsi:type="dcterms:W3CDTF">2020-11-18T10:45:00Z</dcterms:modified>
</cp:coreProperties>
</file>